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654C" w14:textId="08F62BCE" w:rsidR="00B77822" w:rsidRDefault="00595CD8" w:rsidP="00595CD8">
      <w:pPr>
        <w:spacing w:after="40"/>
        <w:jc w:val="center"/>
      </w:pPr>
      <w:r>
        <w:t>50x30 Building Electrification</w:t>
      </w:r>
      <w:r w:rsidR="005B0CA9">
        <w:t xml:space="preserve"> (BE)</w:t>
      </w:r>
      <w:r>
        <w:t xml:space="preserve"> Team</w:t>
      </w:r>
      <w:r w:rsidR="001776FC">
        <w:t xml:space="preserve"> draft V3</w:t>
      </w:r>
      <w:r w:rsidR="003B52C8">
        <w:t>-2</w:t>
      </w:r>
      <w:r w:rsidR="000D3A69">
        <w:t>-1</w:t>
      </w:r>
      <w:r w:rsidR="003B52C8">
        <w:t xml:space="preserve">, </w:t>
      </w:r>
      <w:r w:rsidR="001776FC">
        <w:t xml:space="preserve"> 1/2</w:t>
      </w:r>
      <w:r w:rsidR="003B52C8">
        <w:t>5</w:t>
      </w:r>
      <w:r w:rsidR="001776FC">
        <w:t>/2022</w:t>
      </w:r>
    </w:p>
    <w:p w14:paraId="678F5B51" w14:textId="4E50FAA6" w:rsidR="00F11B1E" w:rsidRDefault="00F11B1E" w:rsidP="00B20F68">
      <w:pPr>
        <w:jc w:val="center"/>
      </w:pPr>
      <w:r>
        <w:t>Building Electrification 2022 Plan</w:t>
      </w:r>
      <w:r w:rsidR="00064BF2">
        <w:t xml:space="preserve">  </w:t>
      </w:r>
      <w:r w:rsidR="00DB754D">
        <w:t xml:space="preserve"> </w:t>
      </w:r>
    </w:p>
    <w:p w14:paraId="66EEB9D4" w14:textId="35C8FB20" w:rsidR="003378C1" w:rsidRDefault="003378C1" w:rsidP="00F11B1E">
      <w:pPr>
        <w:rPr>
          <w:rFonts w:cstheme="minorHAnsi"/>
          <w:color w:val="000000" w:themeColor="text1"/>
        </w:rPr>
      </w:pPr>
      <w:r>
        <w:rPr>
          <w:b/>
          <w:bCs/>
        </w:rPr>
        <w:t>Goals and Objectives</w:t>
      </w:r>
      <w:r w:rsidR="007A0EA5">
        <w:rPr>
          <w:b/>
          <w:bCs/>
        </w:rPr>
        <w:t xml:space="preserve"> - Summary</w:t>
      </w:r>
      <w:r w:rsidR="0033252E">
        <w:rPr>
          <w:b/>
          <w:bCs/>
        </w:rPr>
        <w:t>.</w:t>
      </w:r>
      <w:r w:rsidR="0033252E">
        <w:t xml:space="preserve"> </w:t>
      </w:r>
      <w:r w:rsidR="00A73AF1">
        <w:t xml:space="preserve">The BE Team will focus on </w:t>
      </w:r>
      <w:r w:rsidR="006F5DC7">
        <w:t xml:space="preserve">accelerating electrification and efficiency </w:t>
      </w:r>
      <w:r w:rsidR="007C2546">
        <w:t>in Residential and Bu</w:t>
      </w:r>
      <w:r w:rsidR="00D535C6">
        <w:t>siness buildings and appliances.</w:t>
      </w:r>
      <w:r w:rsidR="005A2DFF">
        <w:t xml:space="preserve"> We will be guided</w:t>
      </w:r>
      <w:r w:rsidR="0006180E">
        <w:t xml:space="preserve"> by actions </w:t>
      </w:r>
      <w:r w:rsidR="004C7610">
        <w:t>stated in</w:t>
      </w:r>
      <w:r w:rsidR="00903F4D">
        <w:t xml:space="preserve"> the 2019 New Jersey Energy Master Plan (EMP), </w:t>
      </w:r>
      <w:r w:rsidR="002912FA">
        <w:t>Strategy 4</w:t>
      </w:r>
      <w:r w:rsidR="0008367D">
        <w:t>, as well as</w:t>
      </w:r>
      <w:r w:rsidR="002F6DBF">
        <w:t xml:space="preserve"> </w:t>
      </w:r>
      <w:r w:rsidR="0060653B">
        <w:t>relevant p</w:t>
      </w:r>
      <w:r w:rsidR="002F6DBF">
        <w:t>oints of</w:t>
      </w:r>
      <w:r w:rsidR="0008367D">
        <w:t xml:space="preserve"> the </w:t>
      </w:r>
      <w:r w:rsidR="004C68C5" w:rsidRPr="004C68C5">
        <w:rPr>
          <w:rFonts w:cstheme="minorHAnsi"/>
          <w:color w:val="000000" w:themeColor="text1"/>
        </w:rPr>
        <w:t>Global Warming Response Act</w:t>
      </w:r>
      <w:r w:rsidR="004C68C5">
        <w:rPr>
          <w:rFonts w:cstheme="minorHAnsi"/>
          <w:color w:val="000000" w:themeColor="text1"/>
        </w:rPr>
        <w:t xml:space="preserve"> (GWRA)</w:t>
      </w:r>
      <w:r w:rsidR="00A7190F">
        <w:rPr>
          <w:rFonts w:cstheme="minorHAnsi"/>
          <w:color w:val="000000" w:themeColor="text1"/>
        </w:rPr>
        <w:t xml:space="preserve"> 80x50 Report.</w:t>
      </w:r>
    </w:p>
    <w:p w14:paraId="022E60FE" w14:textId="495B0638" w:rsidR="0013369C" w:rsidRPr="0033252E" w:rsidRDefault="00521675" w:rsidP="00F11B1E">
      <w:r>
        <w:rPr>
          <w:rFonts w:cstheme="minorHAnsi"/>
          <w:color w:val="000000" w:themeColor="text1"/>
        </w:rPr>
        <w:t>This will involve new and amended laws and regulations to drive increasing deployment of</w:t>
      </w:r>
      <w:r w:rsidR="007C10C8">
        <w:rPr>
          <w:rFonts w:cstheme="minorHAnsi"/>
          <w:color w:val="000000" w:themeColor="text1"/>
        </w:rPr>
        <w:t xml:space="preserve"> electric heat pumps and other low Greenhouse Gas (GHG)</w:t>
      </w:r>
      <w:r w:rsidR="00BF4DB4">
        <w:rPr>
          <w:rFonts w:cstheme="minorHAnsi"/>
          <w:color w:val="000000" w:themeColor="text1"/>
        </w:rPr>
        <w:t xml:space="preserve"> emitting electric appliances</w:t>
      </w:r>
      <w:r w:rsidR="00D43037">
        <w:rPr>
          <w:rFonts w:cstheme="minorHAnsi"/>
          <w:color w:val="000000" w:themeColor="text1"/>
        </w:rPr>
        <w:t>, improved el</w:t>
      </w:r>
      <w:r w:rsidR="00AA2A9C">
        <w:rPr>
          <w:rFonts w:cstheme="minorHAnsi"/>
          <w:color w:val="000000" w:themeColor="text1"/>
        </w:rPr>
        <w:t>ectric appliance efficiency and building codes</w:t>
      </w:r>
      <w:r w:rsidR="00255EBA">
        <w:rPr>
          <w:rFonts w:cstheme="minorHAnsi"/>
          <w:color w:val="000000" w:themeColor="text1"/>
        </w:rPr>
        <w:t>, funding for building energy conservation measure and other incentives</w:t>
      </w:r>
      <w:r w:rsidR="0002430E">
        <w:rPr>
          <w:rFonts w:cstheme="minorHAnsi"/>
          <w:color w:val="000000" w:themeColor="text1"/>
        </w:rPr>
        <w:t>, and a</w:t>
      </w:r>
      <w:r w:rsidR="00EE4E12">
        <w:rPr>
          <w:rFonts w:cstheme="minorHAnsi"/>
          <w:color w:val="000000" w:themeColor="text1"/>
        </w:rPr>
        <w:t>s soon as possible</w:t>
      </w:r>
      <w:r w:rsidR="00AB050B">
        <w:rPr>
          <w:rFonts w:cstheme="minorHAnsi"/>
          <w:color w:val="000000" w:themeColor="text1"/>
        </w:rPr>
        <w:t>, the elimination of new gas hookups.</w:t>
      </w:r>
      <w:r w:rsidR="00B61865">
        <w:rPr>
          <w:rFonts w:cstheme="minorHAnsi"/>
          <w:color w:val="000000" w:themeColor="text1"/>
        </w:rPr>
        <w:t xml:space="preserve"> It will also involve education, training and</w:t>
      </w:r>
      <w:r w:rsidR="002C79F8">
        <w:rPr>
          <w:rFonts w:cstheme="minorHAnsi"/>
          <w:color w:val="000000" w:themeColor="text1"/>
        </w:rPr>
        <w:t xml:space="preserve"> advertising campaigns for consumers and HVAC personnel</w:t>
      </w:r>
      <w:r w:rsidR="00A158E4">
        <w:rPr>
          <w:rFonts w:cstheme="minorHAnsi"/>
          <w:color w:val="000000" w:themeColor="text1"/>
        </w:rPr>
        <w:t xml:space="preserve"> to </w:t>
      </w:r>
      <w:r w:rsidR="008F1FE2">
        <w:rPr>
          <w:rFonts w:cstheme="minorHAnsi"/>
          <w:color w:val="000000" w:themeColor="text1"/>
        </w:rPr>
        <w:t>drive</w:t>
      </w:r>
      <w:r w:rsidR="003C581E">
        <w:rPr>
          <w:rFonts w:cstheme="minorHAnsi"/>
          <w:color w:val="000000" w:themeColor="text1"/>
        </w:rPr>
        <w:t xml:space="preserve"> consumer choice</w:t>
      </w:r>
      <w:r w:rsidR="00B33520">
        <w:rPr>
          <w:rFonts w:cstheme="minorHAnsi"/>
          <w:color w:val="000000" w:themeColor="text1"/>
        </w:rPr>
        <w:t xml:space="preserve"> toward electrification</w:t>
      </w:r>
      <w:r w:rsidR="003C581E">
        <w:rPr>
          <w:rFonts w:cstheme="minorHAnsi"/>
          <w:color w:val="000000" w:themeColor="text1"/>
        </w:rPr>
        <w:t>.</w:t>
      </w:r>
    </w:p>
    <w:p w14:paraId="065370EC" w14:textId="3617CA38" w:rsidR="00F11B1E" w:rsidRDefault="0084483E" w:rsidP="00F11B1E">
      <w:r>
        <w:t>Our exact focus will be driven</w:t>
      </w:r>
      <w:r w:rsidR="003C3140">
        <w:t xml:space="preserve"> by our assessment of those areas that </w:t>
      </w:r>
      <w:r w:rsidR="0085331C">
        <w:t>we</w:t>
      </w:r>
      <w:r w:rsidR="00E52857">
        <w:t xml:space="preserve"> can</w:t>
      </w:r>
      <w:r w:rsidR="0085331C">
        <w:t xml:space="preserve"> best </w:t>
      </w:r>
      <w:r w:rsidR="00E52857">
        <w:t>impact</w:t>
      </w:r>
      <w:r w:rsidR="00CE7BCC">
        <w:t xml:space="preserve">, given what the NJ </w:t>
      </w:r>
      <w:r w:rsidR="00C07405">
        <w:t>Government</w:t>
      </w:r>
      <w:r w:rsidR="007F0249">
        <w:t xml:space="preserve"> is or is not currently doing</w:t>
      </w:r>
      <w:r w:rsidR="00C07405">
        <w:t>, the skills and expertise of team members, an</w:t>
      </w:r>
      <w:r w:rsidR="006C7412">
        <w:t xml:space="preserve">d other skills that are missing but can </w:t>
      </w:r>
      <w:r w:rsidR="005E4424">
        <w:t>potentially be filled by Empower NJ o</w:t>
      </w:r>
      <w:r w:rsidR="00654F2A">
        <w:t>r other entities such as Rutgers or government agencies.</w:t>
      </w:r>
      <w:r w:rsidR="00252D3A">
        <w:t xml:space="preserve"> This focus will include</w:t>
      </w:r>
      <w:r w:rsidR="007D501D">
        <w:t>:</w:t>
      </w:r>
    </w:p>
    <w:p w14:paraId="43472E55" w14:textId="716BEC38" w:rsidR="000F73AD" w:rsidRDefault="000908C5" w:rsidP="00157B21">
      <w:pPr>
        <w:pStyle w:val="ListParagraph"/>
        <w:numPr>
          <w:ilvl w:val="0"/>
          <w:numId w:val="7"/>
        </w:numPr>
        <w:ind w:left="504"/>
      </w:pPr>
      <w:r>
        <w:t>Higher energy efficiency appliance standards</w:t>
      </w:r>
      <w:r w:rsidR="009B65F9">
        <w:t xml:space="preserve"> an</w:t>
      </w:r>
      <w:r w:rsidR="00CB5383">
        <w:t>d replacement of retired fossil-fu</w:t>
      </w:r>
      <w:r w:rsidR="00252EF6">
        <w:t>eled appliances with higher-efficiency el</w:t>
      </w:r>
      <w:r w:rsidR="004465B6">
        <w:t>ectric appliances, such as heat pump</w:t>
      </w:r>
      <w:r w:rsidR="00434EA5">
        <w:t xml:space="preserve"> water heaters or induction stoves.</w:t>
      </w:r>
    </w:p>
    <w:p w14:paraId="0410CA8C" w14:textId="01C27448" w:rsidR="00157B21" w:rsidRDefault="007E23E7" w:rsidP="00157B21">
      <w:pPr>
        <w:pStyle w:val="ListParagraph"/>
        <w:numPr>
          <w:ilvl w:val="0"/>
          <w:numId w:val="7"/>
        </w:numPr>
        <w:ind w:left="504"/>
      </w:pPr>
      <w:r>
        <w:t xml:space="preserve">Increasingly more stringent building codes, </w:t>
      </w:r>
      <w:r w:rsidR="005A79F7">
        <w:t xml:space="preserve">possibly </w:t>
      </w:r>
      <w:r>
        <w:t>with</w:t>
      </w:r>
      <w:r w:rsidR="003D407C">
        <w:t xml:space="preserve"> “stretch codes” enacted by legislation that allow municipalities to exceed state codes</w:t>
      </w:r>
      <w:r w:rsidR="005A79F7">
        <w:t xml:space="preserve">, </w:t>
      </w:r>
      <w:r w:rsidR="00AF1FB4">
        <w:t>to drive air</w:t>
      </w:r>
      <w:r w:rsidR="00E735CB">
        <w:t>-</w:t>
      </w:r>
      <w:r w:rsidR="00AF1FB4">
        <w:t xml:space="preserve"> and geo-sourced heat pump installations in</w:t>
      </w:r>
      <w:r w:rsidR="001C2C6A">
        <w:t xml:space="preserve"> building remodeling and new construction</w:t>
      </w:r>
      <w:r w:rsidR="00E735CB">
        <w:t>. This, along with rooftop solar where applicable</w:t>
      </w:r>
      <w:r w:rsidR="008B27FF">
        <w:t>, would</w:t>
      </w:r>
      <w:r w:rsidR="0001495B">
        <w:t xml:space="preserve"> enable highly energy efficien</w:t>
      </w:r>
      <w:r w:rsidR="00273936">
        <w:t>t passive houses and net zero carbon</w:t>
      </w:r>
      <w:r w:rsidR="000C28E4">
        <w:rPr>
          <w:rStyle w:val="FootnoteReference"/>
        </w:rPr>
        <w:footnoteReference w:id="1"/>
      </w:r>
      <w:r w:rsidR="00273936">
        <w:t xml:space="preserve"> buildings.</w:t>
      </w:r>
    </w:p>
    <w:p w14:paraId="48475C10" w14:textId="7504CD8B" w:rsidR="00D17708" w:rsidRDefault="00AC56DD" w:rsidP="00157B21">
      <w:pPr>
        <w:pStyle w:val="ListParagraph"/>
        <w:numPr>
          <w:ilvl w:val="0"/>
          <w:numId w:val="7"/>
        </w:numPr>
        <w:ind w:left="504"/>
      </w:pPr>
      <w:r>
        <w:t xml:space="preserve">More aggressive </w:t>
      </w:r>
      <w:r w:rsidR="00C21317">
        <w:t>education and advertising</w:t>
      </w:r>
      <w:r w:rsidR="00DE1D1B">
        <w:t xml:space="preserve"> of</w:t>
      </w:r>
      <w:r w:rsidR="0092373C">
        <w:t xml:space="preserve">, and </w:t>
      </w:r>
      <w:r w:rsidR="00DE1D1B">
        <w:t>likely increased incentives for,</w:t>
      </w:r>
      <w:r w:rsidR="009A503A">
        <w:t xml:space="preserve"> energy efficiency audits and improvement</w:t>
      </w:r>
      <w:r w:rsidR="00B85375">
        <w:t xml:space="preserve"> programs now conducted by </w:t>
      </w:r>
      <w:r w:rsidR="005B153A">
        <w:t>the NJ Clean Energy Program and utilities.</w:t>
      </w:r>
      <w:r w:rsidR="0088263D">
        <w:t xml:space="preserve"> </w:t>
      </w:r>
      <w:r w:rsidR="007B505E">
        <w:t>Recommended u</w:t>
      </w:r>
      <w:r w:rsidR="0088263D">
        <w:t>pgrades</w:t>
      </w:r>
      <w:r w:rsidR="008A0C54">
        <w:t xml:space="preserve"> of appliances and heating must be</w:t>
      </w:r>
      <w:r w:rsidR="007B505E">
        <w:t xml:space="preserve"> electric</w:t>
      </w:r>
      <w:r w:rsidR="002C3FAC">
        <w:t>, not gas</w:t>
      </w:r>
      <w:r w:rsidR="007B505E">
        <w:t>.</w:t>
      </w:r>
    </w:p>
    <w:p w14:paraId="1C023E34" w14:textId="180B2227" w:rsidR="00A4178B" w:rsidRPr="00065002" w:rsidRDefault="00AF6A66" w:rsidP="00065002">
      <w:r w:rsidRPr="00AF6A66">
        <w:rPr>
          <w:b/>
          <w:bCs/>
        </w:rPr>
        <w:t>The C</w:t>
      </w:r>
      <w:r w:rsidR="00597DB8">
        <w:rPr>
          <w:b/>
          <w:bCs/>
        </w:rPr>
        <w:t>ost of Inaction</w:t>
      </w:r>
      <w:r w:rsidR="002043B6">
        <w:rPr>
          <w:b/>
          <w:bCs/>
        </w:rPr>
        <w:t>.</w:t>
      </w:r>
      <w:r>
        <w:t xml:space="preserve"> We are suffering from an accelerating human-caused climate emergency -- floods, heat, wildfires, droughts, hunger, displacement, homelessness, illness and death. The science leaves no doubt we must reduce greenhouse gas (GHG) emissions by 50% by 2030 (50x30) to prevent irreversible self-sustaining warming feedback loops and avert climate catastrophe.</w:t>
      </w:r>
      <w:r w:rsidR="003568EF">
        <w:t xml:space="preserve"> The</w:t>
      </w:r>
      <w:r w:rsidR="00CF7C84">
        <w:t xml:space="preserve"> societal</w:t>
      </w:r>
      <w:r w:rsidR="003568EF">
        <w:t xml:space="preserve"> cost</w:t>
      </w:r>
      <w:r w:rsidR="00CF7C84">
        <w:t xml:space="preserve"> of failing to reduce</w:t>
      </w:r>
      <w:r w:rsidR="00D23566">
        <w:t xml:space="preserve"> emissions NOW far, far exceeds</w:t>
      </w:r>
      <w:r w:rsidR="00D654F5">
        <w:t xml:space="preserve"> the immediate costs of doing so.</w:t>
      </w:r>
      <w:r>
        <w:t xml:space="preserve"> This requires more immediate action at the federal, state and local levels. For</w:t>
      </w:r>
      <w:r w:rsidR="00EA52A3">
        <w:t xml:space="preserve"> our</w:t>
      </w:r>
      <w:r>
        <w:t xml:space="preserve"> 2022</w:t>
      </w:r>
      <w:r w:rsidR="00EA52A3">
        <w:t xml:space="preserve"> plan</w:t>
      </w:r>
      <w:r>
        <w:t xml:space="preserve"> we are focused primarily on action</w:t>
      </w:r>
      <w:r w:rsidR="00961491">
        <w:t xml:space="preserve"> to electrify </w:t>
      </w:r>
      <w:r w:rsidR="006D1B8A">
        <w:t>residential and business</w:t>
      </w:r>
      <w:r w:rsidR="003A2FE6">
        <w:t xml:space="preserve"> buildings’</w:t>
      </w:r>
      <w:r w:rsidR="006D1B8A">
        <w:t xml:space="preserve"> space heating and </w:t>
      </w:r>
      <w:r w:rsidR="004550BA">
        <w:t xml:space="preserve">other </w:t>
      </w:r>
      <w:r w:rsidR="006D1B8A">
        <w:t>appliances</w:t>
      </w:r>
      <w:r>
        <w:t xml:space="preserve"> </w:t>
      </w:r>
      <w:r w:rsidR="005847E1">
        <w:t>in New Jersey</w:t>
      </w:r>
      <w:r>
        <w:t xml:space="preserve">. </w:t>
      </w:r>
    </w:p>
    <w:p w14:paraId="0FD4B131" w14:textId="77777777" w:rsidR="000C28E4" w:rsidRDefault="000C28E4">
      <w:pPr>
        <w:rPr>
          <w:rFonts w:cstheme="minorHAnsi"/>
          <w:b/>
          <w:bCs/>
          <w:color w:val="000000" w:themeColor="text1"/>
        </w:rPr>
      </w:pPr>
      <w:r>
        <w:rPr>
          <w:rFonts w:cstheme="minorHAnsi"/>
          <w:b/>
          <w:bCs/>
          <w:color w:val="000000" w:themeColor="text1"/>
        </w:rPr>
        <w:br w:type="page"/>
      </w:r>
    </w:p>
    <w:p w14:paraId="3C5B9B16" w14:textId="45094624" w:rsidR="004E4FC1" w:rsidRPr="00065002" w:rsidRDefault="00D40196" w:rsidP="004E4FC1">
      <w:pPr>
        <w:spacing w:before="120"/>
        <w:rPr>
          <w:b/>
          <w:bCs/>
          <w:color w:val="000000" w:themeColor="text1"/>
        </w:rPr>
      </w:pPr>
      <w:r w:rsidRPr="00065002">
        <w:rPr>
          <w:rFonts w:cstheme="minorHAnsi"/>
          <w:b/>
          <w:bCs/>
          <w:color w:val="000000" w:themeColor="text1"/>
        </w:rPr>
        <w:lastRenderedPageBreak/>
        <w:t>Relevant Integrated Energy Plan</w:t>
      </w:r>
      <w:r w:rsidR="00E028B0" w:rsidRPr="00065002">
        <w:rPr>
          <w:rFonts w:cstheme="minorHAnsi"/>
          <w:b/>
          <w:bCs/>
          <w:color w:val="000000" w:themeColor="text1"/>
        </w:rPr>
        <w:t xml:space="preserve"> </w:t>
      </w:r>
      <w:r w:rsidR="009A4D5E" w:rsidRPr="00065002">
        <w:rPr>
          <w:rFonts w:cstheme="minorHAnsi"/>
          <w:b/>
          <w:bCs/>
          <w:color w:val="000000" w:themeColor="text1"/>
        </w:rPr>
        <w:t>[IEP]</w:t>
      </w:r>
      <w:r w:rsidRPr="00065002">
        <w:rPr>
          <w:rFonts w:cstheme="minorHAnsi"/>
          <w:b/>
          <w:bCs/>
          <w:color w:val="000000" w:themeColor="text1"/>
        </w:rPr>
        <w:t xml:space="preserve"> Findings</w:t>
      </w:r>
      <w:r w:rsidR="00D10167" w:rsidRPr="00065002">
        <w:rPr>
          <w:rFonts w:cstheme="minorHAnsi"/>
          <w:b/>
          <w:bCs/>
          <w:color w:val="000000" w:themeColor="text1"/>
        </w:rPr>
        <w:t xml:space="preserve"> [on B</w:t>
      </w:r>
      <w:r w:rsidR="00831F4C" w:rsidRPr="00065002">
        <w:rPr>
          <w:rFonts w:cstheme="minorHAnsi"/>
          <w:b/>
          <w:bCs/>
          <w:color w:val="000000" w:themeColor="text1"/>
        </w:rPr>
        <w:t>E</w:t>
      </w:r>
      <w:r w:rsidR="00D76E77" w:rsidRPr="00065002">
        <w:rPr>
          <w:rFonts w:cstheme="minorHAnsi"/>
          <w:b/>
          <w:bCs/>
          <w:color w:val="000000" w:themeColor="text1"/>
        </w:rPr>
        <w:t xml:space="preserve"> cost</w:t>
      </w:r>
      <w:r w:rsidR="001A51F2" w:rsidRPr="00065002">
        <w:rPr>
          <w:rFonts w:cstheme="minorHAnsi"/>
          <w:b/>
          <w:bCs/>
          <w:color w:val="000000" w:themeColor="text1"/>
        </w:rPr>
        <w:t>-benefit</w:t>
      </w:r>
      <w:r w:rsidR="00B917B9" w:rsidRPr="00065002">
        <w:rPr>
          <w:rFonts w:cstheme="minorHAnsi"/>
          <w:b/>
          <w:bCs/>
          <w:color w:val="000000" w:themeColor="text1"/>
        </w:rPr>
        <w:t>]</w:t>
      </w:r>
    </w:p>
    <w:p w14:paraId="47A505AA" w14:textId="1FBE0D6F" w:rsidR="00703F3C" w:rsidRPr="00065002" w:rsidRDefault="00D40196" w:rsidP="004E4FC1">
      <w:pPr>
        <w:spacing w:before="120"/>
        <w:rPr>
          <w:rFonts w:cstheme="minorHAnsi"/>
          <w:color w:val="000000" w:themeColor="text1"/>
        </w:rPr>
      </w:pPr>
      <w:r w:rsidRPr="00065002">
        <w:rPr>
          <w:rFonts w:cstheme="minorHAnsi"/>
          <w:color w:val="000000" w:themeColor="text1"/>
        </w:rPr>
        <w:t xml:space="preserve">• </w:t>
      </w:r>
      <w:r w:rsidR="00E016E0" w:rsidRPr="00065002">
        <w:rPr>
          <w:rFonts w:cstheme="minorHAnsi"/>
          <w:color w:val="000000" w:themeColor="text1"/>
        </w:rPr>
        <w:t xml:space="preserve">[Building] </w:t>
      </w:r>
      <w:r w:rsidRPr="00065002">
        <w:rPr>
          <w:rFonts w:cstheme="minorHAnsi"/>
          <w:color w:val="000000" w:themeColor="text1"/>
        </w:rPr>
        <w:t>Electrification reduces annual costs by 50% in 2050, compared to retaining gas use in buildings, in order to meet</w:t>
      </w:r>
      <w:r w:rsidR="00761953" w:rsidRPr="00065002">
        <w:rPr>
          <w:rFonts w:cstheme="minorHAnsi"/>
          <w:color w:val="000000" w:themeColor="text1"/>
        </w:rPr>
        <w:t xml:space="preserve"> </w:t>
      </w:r>
      <w:r w:rsidR="00CC2897" w:rsidRPr="00065002">
        <w:rPr>
          <w:rFonts w:cstheme="minorHAnsi"/>
          <w:color w:val="000000" w:themeColor="text1"/>
        </w:rPr>
        <w:t>[GWRA 80x50]</w:t>
      </w:r>
      <w:r w:rsidRPr="00065002">
        <w:rPr>
          <w:rFonts w:cstheme="minorHAnsi"/>
          <w:color w:val="000000" w:themeColor="text1"/>
        </w:rPr>
        <w:t xml:space="preserve"> emissions targets.</w:t>
      </w:r>
      <w:r w:rsidR="00703F3C" w:rsidRPr="00065002">
        <w:rPr>
          <w:rFonts w:cstheme="minorHAnsi"/>
          <w:color w:val="000000" w:themeColor="text1"/>
        </w:rPr>
        <w:t xml:space="preserve"> </w:t>
      </w:r>
    </w:p>
    <w:p w14:paraId="311D230C" w14:textId="77777777" w:rsidR="00FA34D3" w:rsidRPr="00065002" w:rsidRDefault="00703F3C" w:rsidP="00F11B1E">
      <w:pPr>
        <w:rPr>
          <w:rFonts w:cstheme="minorHAnsi"/>
          <w:color w:val="000000" w:themeColor="text1"/>
        </w:rPr>
      </w:pPr>
      <w:r w:rsidRPr="00065002">
        <w:rPr>
          <w:rFonts w:cstheme="minorHAnsi"/>
          <w:color w:val="000000" w:themeColor="text1"/>
        </w:rPr>
        <w:t>• Building heating and cooling appliance costs are lower when buildings are electrified. Total appliance costs are lower because modern heat pumps provide both heating and cooling needs, negating the need to purchase separate furnaces and air conditioners.</w:t>
      </w:r>
    </w:p>
    <w:p w14:paraId="0827043F" w14:textId="77777777" w:rsidR="005A5E8F" w:rsidRPr="00065002" w:rsidRDefault="00232357" w:rsidP="00F11B1E">
      <w:pPr>
        <w:rPr>
          <w:rFonts w:cstheme="minorHAnsi"/>
          <w:color w:val="000000" w:themeColor="text1"/>
        </w:rPr>
      </w:pPr>
      <w:r w:rsidRPr="00065002">
        <w:rPr>
          <w:rFonts w:cstheme="minorHAnsi"/>
          <w:color w:val="000000" w:themeColor="text1"/>
        </w:rPr>
        <w:t>• Building electrification reduces total energy use.</w:t>
      </w:r>
      <w:r w:rsidR="000D7509" w:rsidRPr="00065002">
        <w:rPr>
          <w:rFonts w:cstheme="minorHAnsi"/>
          <w:color w:val="000000" w:themeColor="text1"/>
        </w:rPr>
        <w:t xml:space="preserve"> </w:t>
      </w:r>
      <w:r w:rsidRPr="00065002">
        <w:rPr>
          <w:rFonts w:cstheme="minorHAnsi"/>
          <w:color w:val="000000" w:themeColor="text1"/>
        </w:rPr>
        <w:t>While building electrification increases electricity</w:t>
      </w:r>
      <w:r w:rsidR="000D7509" w:rsidRPr="00065002">
        <w:rPr>
          <w:rFonts w:cstheme="minorHAnsi"/>
          <w:color w:val="000000" w:themeColor="text1"/>
        </w:rPr>
        <w:t xml:space="preserve"> </w:t>
      </w:r>
      <w:r w:rsidRPr="00065002">
        <w:rPr>
          <w:rFonts w:cstheme="minorHAnsi"/>
          <w:color w:val="000000" w:themeColor="text1"/>
        </w:rPr>
        <w:t>use, it reduces total energy needs because heat</w:t>
      </w:r>
      <w:r w:rsidR="000D7509" w:rsidRPr="00065002">
        <w:rPr>
          <w:rFonts w:cstheme="minorHAnsi"/>
          <w:color w:val="000000" w:themeColor="text1"/>
        </w:rPr>
        <w:t xml:space="preserve"> </w:t>
      </w:r>
      <w:r w:rsidRPr="00065002">
        <w:rPr>
          <w:rFonts w:cstheme="minorHAnsi"/>
          <w:color w:val="000000" w:themeColor="text1"/>
        </w:rPr>
        <w:t>pumps are much more efficient than direct combustion of fossil fuels for heat.</w:t>
      </w:r>
    </w:p>
    <w:p w14:paraId="19532303" w14:textId="4472A425" w:rsidR="00F02384" w:rsidRPr="00065002" w:rsidRDefault="00D10682" w:rsidP="00F11B1E">
      <w:pPr>
        <w:rPr>
          <w:color w:val="000000" w:themeColor="text1"/>
        </w:rPr>
      </w:pPr>
      <w:r w:rsidRPr="00065002">
        <w:rPr>
          <w:rFonts w:cstheme="minorHAnsi"/>
          <w:color w:val="000000" w:themeColor="text1"/>
        </w:rPr>
        <w:t>• Building electrification is the most cost-effective path to achieving further</w:t>
      </w:r>
      <w:r w:rsidR="00537128" w:rsidRPr="00065002">
        <w:rPr>
          <w:rFonts w:cstheme="minorHAnsi"/>
          <w:color w:val="000000" w:themeColor="text1"/>
        </w:rPr>
        <w:t xml:space="preserve"> </w:t>
      </w:r>
      <w:r w:rsidRPr="00065002">
        <w:rPr>
          <w:rFonts w:cstheme="minorHAnsi"/>
          <w:color w:val="000000" w:themeColor="text1"/>
        </w:rPr>
        <w:t>emissions reductions beyond those required by the GWRA</w:t>
      </w:r>
      <w:r w:rsidR="005F5BAC" w:rsidRPr="00065002">
        <w:rPr>
          <w:rFonts w:cstheme="minorHAnsi"/>
          <w:color w:val="000000" w:themeColor="text1"/>
        </w:rPr>
        <w:t>.</w:t>
      </w:r>
      <w:r w:rsidR="00920AB1" w:rsidRPr="00065002">
        <w:rPr>
          <w:rFonts w:cstheme="minorHAnsi"/>
          <w:color w:val="000000" w:themeColor="text1"/>
        </w:rPr>
        <w:t xml:space="preserve"> </w:t>
      </w:r>
      <w:r w:rsidR="005F5BAC" w:rsidRPr="00065002">
        <w:rPr>
          <w:rFonts w:cstheme="minorHAnsi"/>
          <w:color w:val="000000" w:themeColor="text1"/>
        </w:rPr>
        <w:t>I</w:t>
      </w:r>
      <w:r w:rsidRPr="00065002">
        <w:rPr>
          <w:rFonts w:cstheme="minorHAnsi"/>
          <w:color w:val="000000" w:themeColor="text1"/>
        </w:rPr>
        <w:t>n the Least Cost scenario</w:t>
      </w:r>
      <w:r w:rsidR="00F16ABA" w:rsidRPr="00065002">
        <w:rPr>
          <w:rFonts w:cstheme="minorHAnsi"/>
          <w:color w:val="000000" w:themeColor="text1"/>
        </w:rPr>
        <w:t xml:space="preserve"> b</w:t>
      </w:r>
      <w:r w:rsidRPr="00065002">
        <w:rPr>
          <w:rFonts w:cstheme="minorHAnsi"/>
          <w:color w:val="000000" w:themeColor="text1"/>
        </w:rPr>
        <w:t>uildings are</w:t>
      </w:r>
      <w:r w:rsidR="0059498D" w:rsidRPr="00065002">
        <w:rPr>
          <w:rFonts w:cstheme="minorHAnsi"/>
          <w:color w:val="000000" w:themeColor="text1"/>
        </w:rPr>
        <w:t xml:space="preserve"> </w:t>
      </w:r>
      <w:r w:rsidRPr="00065002">
        <w:rPr>
          <w:rFonts w:cstheme="minorHAnsi"/>
          <w:color w:val="000000" w:themeColor="text1"/>
        </w:rPr>
        <w:t>retrofitted during stock rollover events, in which</w:t>
      </w:r>
      <w:r w:rsidR="0059498D" w:rsidRPr="00065002">
        <w:rPr>
          <w:rFonts w:cstheme="minorHAnsi"/>
          <w:color w:val="000000" w:themeColor="text1"/>
        </w:rPr>
        <w:t xml:space="preserve"> </w:t>
      </w:r>
      <w:r w:rsidRPr="00065002">
        <w:rPr>
          <w:rFonts w:cstheme="minorHAnsi"/>
          <w:color w:val="000000" w:themeColor="text1"/>
        </w:rPr>
        <w:t>gas appliances are replaced with heat pumps at</w:t>
      </w:r>
      <w:r w:rsidR="0059498D" w:rsidRPr="00065002">
        <w:rPr>
          <w:rFonts w:cstheme="minorHAnsi"/>
          <w:color w:val="000000" w:themeColor="text1"/>
        </w:rPr>
        <w:t xml:space="preserve"> </w:t>
      </w:r>
      <w:r w:rsidRPr="00065002">
        <w:rPr>
          <w:rFonts w:cstheme="minorHAnsi"/>
          <w:color w:val="000000" w:themeColor="text1"/>
        </w:rPr>
        <w:t>the point of an appliance’s natural retirement, thus</w:t>
      </w:r>
      <w:r w:rsidR="0059498D" w:rsidRPr="00065002">
        <w:rPr>
          <w:rFonts w:cstheme="minorHAnsi"/>
          <w:color w:val="000000" w:themeColor="text1"/>
        </w:rPr>
        <w:t xml:space="preserve"> </w:t>
      </w:r>
      <w:r w:rsidRPr="00065002">
        <w:rPr>
          <w:rFonts w:cstheme="minorHAnsi"/>
          <w:color w:val="000000" w:themeColor="text1"/>
        </w:rPr>
        <w:t>limiting stranded assets.</w:t>
      </w:r>
    </w:p>
    <w:p w14:paraId="2E4F6611" w14:textId="226C59A9" w:rsidR="00D53B97" w:rsidRPr="00312455" w:rsidRDefault="00D53B97" w:rsidP="0076332A">
      <w:pPr>
        <w:rPr>
          <w:rFonts w:cstheme="minorHAnsi"/>
          <w:b/>
          <w:bCs/>
          <w:color w:val="000000" w:themeColor="text1"/>
        </w:rPr>
      </w:pPr>
      <w:r w:rsidRPr="00312455">
        <w:rPr>
          <w:rFonts w:cstheme="minorHAnsi"/>
          <w:b/>
          <w:bCs/>
          <w:color w:val="000000" w:themeColor="text1"/>
        </w:rPr>
        <w:t>Table 3 from EMP Section 4</w:t>
      </w:r>
      <w:r w:rsidR="00312455">
        <w:rPr>
          <w:rFonts w:cstheme="minorHAnsi"/>
          <w:b/>
          <w:bCs/>
          <w:color w:val="000000" w:themeColor="text1"/>
        </w:rPr>
        <w:t xml:space="preserve"> </w:t>
      </w:r>
      <w:r w:rsidR="00041DE5">
        <w:rPr>
          <w:rFonts w:cstheme="minorHAnsi"/>
          <w:b/>
          <w:bCs/>
          <w:color w:val="000000" w:themeColor="text1"/>
        </w:rPr>
        <w:t>[Detailed Costs</w:t>
      </w:r>
      <w:r w:rsidR="00F84700">
        <w:rPr>
          <w:rFonts w:cstheme="minorHAnsi"/>
          <w:b/>
          <w:bCs/>
          <w:color w:val="000000" w:themeColor="text1"/>
        </w:rPr>
        <w:t xml:space="preserve"> for Space-Heating Fuels]</w:t>
      </w:r>
    </w:p>
    <w:p w14:paraId="370B5D3D" w14:textId="6D3DD394" w:rsidR="00D53B97" w:rsidRPr="00DB2171" w:rsidRDefault="00D53B97" w:rsidP="00BA5547">
      <w:pPr>
        <w:ind w:left="432"/>
        <w:rPr>
          <w:rFonts w:cstheme="minorHAnsi"/>
          <w:color w:val="000000" w:themeColor="text1"/>
        </w:rPr>
      </w:pPr>
      <w:r w:rsidRPr="00DB2171">
        <w:rPr>
          <w:rFonts w:cstheme="minorHAnsi"/>
          <w:color w:val="000000" w:themeColor="text1"/>
        </w:rPr>
        <w:t>Average Consumer Expenditures for Heating Fuels in the 2017-2018 Winter in the Northeast U.S.</w:t>
      </w:r>
      <w:r w:rsidRPr="00DB2171">
        <w:rPr>
          <w:rFonts w:cstheme="minorHAnsi"/>
          <w:color w:val="000000" w:themeColor="text1"/>
        </w:rPr>
        <w:br/>
        <w:t>Natural Gas</w:t>
      </w:r>
      <w:r w:rsidRPr="00DB2171">
        <w:rPr>
          <w:rFonts w:cstheme="minorHAnsi"/>
          <w:color w:val="000000" w:themeColor="text1"/>
        </w:rPr>
        <w:tab/>
      </w:r>
      <w:r w:rsidRPr="00DB2171">
        <w:rPr>
          <w:rFonts w:cstheme="minorHAnsi"/>
          <w:color w:val="000000" w:themeColor="text1"/>
        </w:rPr>
        <w:tab/>
      </w:r>
      <w:r w:rsidRPr="00DB2171">
        <w:rPr>
          <w:rFonts w:cstheme="minorHAnsi"/>
          <w:color w:val="000000" w:themeColor="text1"/>
        </w:rPr>
        <w:tab/>
      </w:r>
      <w:r w:rsidRPr="00DB2171">
        <w:rPr>
          <w:rFonts w:cstheme="minorHAnsi"/>
          <w:color w:val="000000" w:themeColor="text1"/>
        </w:rPr>
        <w:tab/>
        <w:t xml:space="preserve"> $742</w:t>
      </w:r>
      <w:r w:rsidRPr="00DB2171">
        <w:rPr>
          <w:rFonts w:cstheme="minorHAnsi"/>
          <w:color w:val="000000" w:themeColor="text1"/>
        </w:rPr>
        <w:br/>
        <w:t>Heating Oil</w:t>
      </w:r>
      <w:r w:rsidRPr="00DB2171">
        <w:rPr>
          <w:rFonts w:cstheme="minorHAnsi"/>
          <w:color w:val="000000" w:themeColor="text1"/>
        </w:rPr>
        <w:tab/>
      </w:r>
      <w:r w:rsidRPr="00DB2171">
        <w:rPr>
          <w:rFonts w:cstheme="minorHAnsi"/>
          <w:color w:val="000000" w:themeColor="text1"/>
        </w:rPr>
        <w:tab/>
      </w:r>
      <w:r w:rsidRPr="00DB2171">
        <w:rPr>
          <w:rFonts w:cstheme="minorHAnsi"/>
          <w:color w:val="000000" w:themeColor="text1"/>
        </w:rPr>
        <w:tab/>
      </w:r>
      <w:r w:rsidRPr="00DB2171">
        <w:rPr>
          <w:rFonts w:cstheme="minorHAnsi"/>
          <w:color w:val="000000" w:themeColor="text1"/>
        </w:rPr>
        <w:tab/>
      </w:r>
      <w:r w:rsidRPr="00DB2171">
        <w:rPr>
          <w:rFonts w:cstheme="minorHAnsi"/>
          <w:color w:val="000000" w:themeColor="text1"/>
        </w:rPr>
        <w:tab/>
        <w:t xml:space="preserve"> $1,376</w:t>
      </w:r>
      <w:r w:rsidRPr="00DB2171">
        <w:rPr>
          <w:rFonts w:cstheme="minorHAnsi"/>
          <w:color w:val="000000" w:themeColor="text1"/>
        </w:rPr>
        <w:br/>
        <w:t>Electricity (mostly baseboard)</w:t>
      </w:r>
      <w:r w:rsidRPr="00DB2171">
        <w:rPr>
          <w:rFonts w:cstheme="minorHAnsi"/>
          <w:color w:val="000000" w:themeColor="text1"/>
        </w:rPr>
        <w:tab/>
        <w:t xml:space="preserve"> </w:t>
      </w:r>
      <w:r w:rsidRPr="00DB2171">
        <w:rPr>
          <w:rFonts w:cstheme="minorHAnsi"/>
          <w:color w:val="000000" w:themeColor="text1"/>
        </w:rPr>
        <w:tab/>
        <w:t xml:space="preserve"> $1,406</w:t>
      </w:r>
      <w:r w:rsidRPr="00DB2171">
        <w:rPr>
          <w:rFonts w:cstheme="minorHAnsi"/>
          <w:color w:val="000000" w:themeColor="text1"/>
        </w:rPr>
        <w:br/>
        <w:t xml:space="preserve">Propane </w:t>
      </w:r>
      <w:r w:rsidRPr="00DB2171">
        <w:rPr>
          <w:rFonts w:cstheme="minorHAnsi"/>
          <w:color w:val="000000" w:themeColor="text1"/>
        </w:rPr>
        <w:tab/>
      </w:r>
      <w:r w:rsidRPr="00DB2171">
        <w:rPr>
          <w:rFonts w:cstheme="minorHAnsi"/>
          <w:color w:val="000000" w:themeColor="text1"/>
        </w:rPr>
        <w:tab/>
        <w:t xml:space="preserve"> </w:t>
      </w:r>
      <w:r w:rsidRPr="00DB2171">
        <w:rPr>
          <w:rFonts w:cstheme="minorHAnsi"/>
          <w:color w:val="000000" w:themeColor="text1"/>
        </w:rPr>
        <w:tab/>
      </w:r>
      <w:r w:rsidRPr="00DB2171">
        <w:rPr>
          <w:rFonts w:cstheme="minorHAnsi"/>
          <w:color w:val="000000" w:themeColor="text1"/>
        </w:rPr>
        <w:tab/>
        <w:t xml:space="preserve"> </w:t>
      </w:r>
      <w:r w:rsidRPr="00DB2171">
        <w:rPr>
          <w:rFonts w:cstheme="minorHAnsi"/>
          <w:color w:val="000000" w:themeColor="text1"/>
        </w:rPr>
        <w:tab/>
        <w:t xml:space="preserve"> $1,856</w:t>
      </w:r>
      <w:r w:rsidRPr="00DB2171">
        <w:rPr>
          <w:rFonts w:cstheme="minorHAnsi"/>
          <w:color w:val="000000" w:themeColor="text1"/>
        </w:rPr>
        <w:br/>
        <w:t>Electricity (modern heat pump, estimated</w:t>
      </w:r>
      <w:r w:rsidRPr="00DB2171">
        <w:rPr>
          <w:rFonts w:cstheme="minorHAnsi"/>
          <w:color w:val="000000" w:themeColor="text1"/>
        </w:rPr>
        <w:tab/>
        <w:t xml:space="preserve"> $703</w:t>
      </w:r>
      <w:r w:rsidRPr="00DB2171">
        <w:rPr>
          <w:rFonts w:cstheme="minorHAnsi"/>
          <w:color w:val="000000" w:themeColor="text1"/>
        </w:rPr>
        <w:br/>
        <w:t>assuming average performance</w:t>
      </w:r>
      <w:r w:rsidR="009F7B99">
        <w:rPr>
          <w:rFonts w:cstheme="minorHAnsi"/>
          <w:color w:val="000000" w:themeColor="text1"/>
        </w:rPr>
        <w:t>.  Heat pump electricity cost must be verified</w:t>
      </w:r>
      <w:r w:rsidRPr="00DB2171">
        <w:rPr>
          <w:rFonts w:cstheme="minorHAnsi"/>
          <w:color w:val="000000" w:themeColor="text1"/>
        </w:rPr>
        <w:t>)</w:t>
      </w:r>
    </w:p>
    <w:p w14:paraId="6A10951C" w14:textId="77777777" w:rsidR="00DB2171" w:rsidRDefault="00D53B97" w:rsidP="00D53B97">
      <w:pPr>
        <w:spacing w:after="120"/>
        <w:rPr>
          <w:rFonts w:ascii="Arial" w:hAnsi="Arial" w:cs="Arial"/>
          <w:color w:val="000000" w:themeColor="text1"/>
          <w:sz w:val="17"/>
          <w:szCs w:val="17"/>
        </w:rPr>
      </w:pPr>
      <w:r w:rsidRPr="00DB2171">
        <w:rPr>
          <w:rFonts w:ascii="Arial" w:hAnsi="Arial" w:cs="Arial"/>
          <w:color w:val="000000" w:themeColor="text1"/>
          <w:sz w:val="17"/>
          <w:szCs w:val="17"/>
        </w:rPr>
        <w:t>The data in the four upper rows of this chart reflect costs reported to the EIA. The data in the last row is a cost estimate based on data from the</w:t>
      </w:r>
      <w:r w:rsidRPr="00DB2171">
        <w:rPr>
          <w:color w:val="000000" w:themeColor="text1"/>
        </w:rPr>
        <w:t xml:space="preserve"> </w:t>
      </w:r>
      <w:r w:rsidRPr="00DB2171">
        <w:rPr>
          <w:rFonts w:ascii="Arial" w:hAnsi="Arial" w:cs="Arial"/>
          <w:color w:val="000000" w:themeColor="text1"/>
          <w:sz w:val="17"/>
          <w:szCs w:val="17"/>
        </w:rPr>
        <w:t>paper, The Economics of Electrifying Buildings: How Electric Space and Water Heating Supports Decarbonization of Residential Buildings, by</w:t>
      </w:r>
      <w:r w:rsidRPr="00DB2171">
        <w:rPr>
          <w:color w:val="000000" w:themeColor="text1"/>
        </w:rPr>
        <w:t xml:space="preserve"> </w:t>
      </w:r>
      <w:r w:rsidRPr="00DB2171">
        <w:rPr>
          <w:rFonts w:ascii="Arial" w:hAnsi="Arial" w:cs="Arial"/>
          <w:color w:val="000000" w:themeColor="text1"/>
          <w:sz w:val="17"/>
          <w:szCs w:val="17"/>
        </w:rPr>
        <w:t>Rocky Mountain Institute.</w:t>
      </w:r>
    </w:p>
    <w:p w14:paraId="407BDEA7" w14:textId="262ED212" w:rsidR="00DB2171" w:rsidRPr="00855283" w:rsidRDefault="00DB2171" w:rsidP="00DB2171">
      <w:pPr>
        <w:spacing w:after="120"/>
        <w:rPr>
          <w:rFonts w:cstheme="minorHAnsi"/>
        </w:rPr>
      </w:pPr>
      <w:r w:rsidRPr="00DA3026">
        <w:rPr>
          <w:rFonts w:cstheme="minorHAnsi"/>
        </w:rPr>
        <w:t>Also note, the price</w:t>
      </w:r>
      <w:r>
        <w:rPr>
          <w:rFonts w:cstheme="minorHAnsi"/>
        </w:rPr>
        <w:t xml:space="preserve"> of natural gas has increased in Winter 2021-2022</w:t>
      </w:r>
      <w:r w:rsidR="00EE5DEC">
        <w:rPr>
          <w:rFonts w:cstheme="minorHAnsi"/>
        </w:rPr>
        <w:t>, making electric-powered heat pumps more cost-effective</w:t>
      </w:r>
      <w:r>
        <w:rPr>
          <w:rFonts w:cstheme="minorHAnsi"/>
        </w:rPr>
        <w:t>.</w:t>
      </w:r>
    </w:p>
    <w:p w14:paraId="2F7706C9" w14:textId="20FE3DBB" w:rsidR="00B04375" w:rsidRDefault="002D3B17" w:rsidP="00D53B97">
      <w:pPr>
        <w:spacing w:after="120"/>
        <w:rPr>
          <w:rFonts w:cstheme="minorHAnsi"/>
          <w:b/>
          <w:bCs/>
        </w:rPr>
      </w:pPr>
      <w:r>
        <w:rPr>
          <w:rFonts w:cstheme="minorHAnsi"/>
          <w:b/>
          <w:bCs/>
        </w:rPr>
        <w:t>Plan Objectives Base</w:t>
      </w:r>
      <w:r w:rsidR="007810BB">
        <w:rPr>
          <w:rFonts w:cstheme="minorHAnsi"/>
          <w:b/>
          <w:bCs/>
        </w:rPr>
        <w:t>d</w:t>
      </w:r>
      <w:r>
        <w:rPr>
          <w:rFonts w:cstheme="minorHAnsi"/>
          <w:b/>
          <w:bCs/>
        </w:rPr>
        <w:t xml:space="preserve"> on</w:t>
      </w:r>
      <w:r w:rsidR="009A39A9">
        <w:rPr>
          <w:rFonts w:cstheme="minorHAnsi"/>
          <w:b/>
          <w:bCs/>
        </w:rPr>
        <w:t xml:space="preserve"> EMP Requirements</w:t>
      </w:r>
    </w:p>
    <w:p w14:paraId="77334767" w14:textId="21DFC7BC" w:rsidR="004B62A6" w:rsidRPr="004B62A6" w:rsidRDefault="004B62A6" w:rsidP="00D53B97">
      <w:pPr>
        <w:spacing w:after="120"/>
        <w:rPr>
          <w:rFonts w:cstheme="minorHAnsi"/>
        </w:rPr>
      </w:pPr>
      <w:r>
        <w:rPr>
          <w:rFonts w:cstheme="minorHAnsi"/>
        </w:rPr>
        <w:t>Those EMP requirements we judge are best left to the sta</w:t>
      </w:r>
      <w:r w:rsidR="007810BB">
        <w:rPr>
          <w:rFonts w:cstheme="minorHAnsi"/>
        </w:rPr>
        <w:t>te government are omitted below.</w:t>
      </w:r>
    </w:p>
    <w:p w14:paraId="7728D1A2" w14:textId="1012774A" w:rsidR="0050359E" w:rsidRDefault="00EF5438" w:rsidP="00D53B97">
      <w:pPr>
        <w:spacing w:after="120"/>
        <w:rPr>
          <w:rFonts w:cstheme="minorHAnsi"/>
          <w:b/>
          <w:bCs/>
        </w:rPr>
      </w:pPr>
      <w:r w:rsidRPr="001B73C8">
        <w:rPr>
          <w:rFonts w:cstheme="minorHAnsi"/>
          <w:b/>
          <w:bCs/>
        </w:rPr>
        <w:t xml:space="preserve">EMP Strategy 4. </w:t>
      </w:r>
      <w:r w:rsidRPr="006B7C8A">
        <w:rPr>
          <w:rStyle w:val="Strong"/>
          <w:rFonts w:cstheme="minorHAnsi"/>
        </w:rPr>
        <w:t>Reduce Energy Consumption and Emissions from the Building Sector</w:t>
      </w:r>
      <w:r w:rsidRPr="006B7C8A">
        <w:rPr>
          <w:rFonts w:cstheme="minorHAnsi"/>
        </w:rPr>
        <w:t>.</w:t>
      </w:r>
      <w:r w:rsidRPr="001B73C8">
        <w:rPr>
          <w:rFonts w:cstheme="minorHAnsi"/>
          <w:b/>
          <w:bCs/>
        </w:rPr>
        <w:t xml:space="preserve"> The building sector should be largely decarbonized and electrified by 2050 with an early focus on new construction and the electrification of oil- and propane-fueled buildings.</w:t>
      </w:r>
    </w:p>
    <w:p w14:paraId="1ABE4124" w14:textId="74B24D74" w:rsidR="001751B7" w:rsidRDefault="00900543" w:rsidP="00AF3C9C">
      <w:pPr>
        <w:spacing w:after="0"/>
        <w:rPr>
          <w:rFonts w:cstheme="minorHAnsi"/>
          <w:color w:val="000000"/>
        </w:rPr>
      </w:pPr>
      <w:r>
        <w:rPr>
          <w:rFonts w:cstheme="minorHAnsi"/>
          <w:b/>
          <w:bCs/>
        </w:rPr>
        <w:t xml:space="preserve">BE Plan </w:t>
      </w:r>
      <w:r w:rsidR="00DD1CD9">
        <w:rPr>
          <w:rFonts w:cstheme="minorHAnsi"/>
          <w:b/>
          <w:bCs/>
        </w:rPr>
        <w:t>Objective</w:t>
      </w:r>
      <w:r w:rsidR="0088075D">
        <w:rPr>
          <w:rFonts w:cstheme="minorHAnsi"/>
          <w:b/>
          <w:bCs/>
        </w:rPr>
        <w:t xml:space="preserve"> 1</w:t>
      </w:r>
      <w:r w:rsidR="0088075D" w:rsidRPr="00471E9B">
        <w:rPr>
          <w:rFonts w:cstheme="minorHAnsi"/>
          <w:b/>
          <w:bCs/>
        </w:rPr>
        <w:t xml:space="preserve">. </w:t>
      </w:r>
      <w:r w:rsidR="00190FBC" w:rsidRPr="00471E9B">
        <w:rPr>
          <w:rFonts w:cstheme="minorHAnsi"/>
          <w:color w:val="000000"/>
          <w:sz w:val="14"/>
          <w:szCs w:val="14"/>
        </w:rPr>
        <w:t>  </w:t>
      </w:r>
      <w:r w:rsidR="00190FBC" w:rsidRPr="00471E9B">
        <w:rPr>
          <w:rFonts w:cstheme="minorHAnsi"/>
          <w:color w:val="000000"/>
        </w:rPr>
        <w:t xml:space="preserve">Socialize the Building Electrification plan among all </w:t>
      </w:r>
      <w:r w:rsidR="0088406A">
        <w:rPr>
          <w:rFonts w:cstheme="minorHAnsi"/>
          <w:color w:val="000000"/>
        </w:rPr>
        <w:t>Empower NJ</w:t>
      </w:r>
      <w:r w:rsidR="00190FBC" w:rsidRPr="00471E9B">
        <w:rPr>
          <w:rFonts w:cstheme="minorHAnsi"/>
          <w:color w:val="000000"/>
        </w:rPr>
        <w:t xml:space="preserve"> organizations</w:t>
      </w:r>
      <w:r w:rsidR="0088406A">
        <w:rPr>
          <w:rFonts w:cstheme="minorHAnsi"/>
          <w:color w:val="000000"/>
        </w:rPr>
        <w:t>, Sustainable Jersey</w:t>
      </w:r>
      <w:r>
        <w:rPr>
          <w:rFonts w:cstheme="minorHAnsi"/>
          <w:color w:val="000000"/>
        </w:rPr>
        <w:t>,</w:t>
      </w:r>
      <w:r w:rsidR="0088406A">
        <w:rPr>
          <w:rFonts w:cstheme="minorHAnsi"/>
          <w:color w:val="000000"/>
        </w:rPr>
        <w:t xml:space="preserve"> an</w:t>
      </w:r>
      <w:r w:rsidR="00961EDA">
        <w:rPr>
          <w:rFonts w:cstheme="minorHAnsi"/>
          <w:color w:val="000000"/>
        </w:rPr>
        <w:t>d local Green Teams</w:t>
      </w:r>
      <w:r w:rsidR="005737EA">
        <w:rPr>
          <w:rFonts w:cstheme="minorHAnsi"/>
          <w:color w:val="000000"/>
        </w:rPr>
        <w:t xml:space="preserve"> and Environmental Commissions</w:t>
      </w:r>
      <w:r>
        <w:rPr>
          <w:rFonts w:cstheme="minorHAnsi"/>
          <w:color w:val="000000"/>
        </w:rPr>
        <w:t>,</w:t>
      </w:r>
      <w:r w:rsidR="00190FBC" w:rsidRPr="00471E9B">
        <w:rPr>
          <w:rFonts w:cstheme="minorHAnsi"/>
          <w:color w:val="000000"/>
        </w:rPr>
        <w:t xml:space="preserve"> so that we all are sending the same message to all parties.</w:t>
      </w:r>
    </w:p>
    <w:p w14:paraId="0D96A926" w14:textId="44D05F28" w:rsidR="00481087" w:rsidRPr="003F2EB5" w:rsidRDefault="00BF1BF0" w:rsidP="00985686">
      <w:pPr>
        <w:spacing w:before="120" w:after="120"/>
        <w:rPr>
          <w:rFonts w:cstheme="minorHAnsi"/>
        </w:rPr>
      </w:pPr>
      <w:r w:rsidRPr="001B73C8">
        <w:rPr>
          <w:rFonts w:cstheme="minorHAnsi"/>
          <w:b/>
          <w:bCs/>
        </w:rPr>
        <w:t xml:space="preserve">EMP </w:t>
      </w:r>
      <w:r w:rsidR="00481087" w:rsidRPr="001B73C8">
        <w:rPr>
          <w:rFonts w:cstheme="minorHAnsi"/>
          <w:b/>
          <w:bCs/>
        </w:rPr>
        <w:t>4.1</w:t>
      </w:r>
      <w:r w:rsidR="00481087" w:rsidRPr="003F2EB5">
        <w:rPr>
          <w:rFonts w:cstheme="minorHAnsi"/>
        </w:rPr>
        <w:t xml:space="preserve"> Start the transition for </w:t>
      </w:r>
      <w:r w:rsidR="00481087" w:rsidRPr="002B2BBF">
        <w:rPr>
          <w:rFonts w:cstheme="minorHAnsi"/>
          <w:i/>
          <w:iCs/>
        </w:rPr>
        <w:t>new construction</w:t>
      </w:r>
      <w:r w:rsidR="00481087" w:rsidRPr="003F2EB5">
        <w:rPr>
          <w:rFonts w:cstheme="minorHAnsi"/>
        </w:rPr>
        <w:t xml:space="preserve"> to be net zero carbon </w:t>
      </w:r>
    </w:p>
    <w:p w14:paraId="5809F277" w14:textId="3A40E61A" w:rsidR="00481087" w:rsidRPr="003F2EB5" w:rsidRDefault="001D7493" w:rsidP="00E17FB3">
      <w:pPr>
        <w:spacing w:after="120"/>
        <w:rPr>
          <w:rFonts w:cstheme="minorHAnsi"/>
        </w:rPr>
      </w:pPr>
      <w:r w:rsidRPr="001B73C8">
        <w:rPr>
          <w:rFonts w:cstheme="minorHAnsi"/>
          <w:b/>
          <w:bCs/>
        </w:rPr>
        <w:t xml:space="preserve">EMP </w:t>
      </w:r>
      <w:r w:rsidR="00481087" w:rsidRPr="001B73C8">
        <w:rPr>
          <w:rFonts w:cstheme="minorHAnsi"/>
          <w:b/>
          <w:bCs/>
        </w:rPr>
        <w:t>4.1.3</w:t>
      </w:r>
      <w:r w:rsidR="00481087" w:rsidRPr="003F2EB5">
        <w:rPr>
          <w:rFonts w:cstheme="minorHAnsi"/>
        </w:rPr>
        <w:t xml:space="preserve"> Expand and accelerate the current statewide net zero carbon homes incentive programs for both new construction and existing homes </w:t>
      </w:r>
    </w:p>
    <w:p w14:paraId="10A7A955" w14:textId="55F3F433" w:rsidR="00481087" w:rsidRPr="003F2EB5" w:rsidRDefault="001D7493" w:rsidP="00E17FB3">
      <w:pPr>
        <w:spacing w:after="120"/>
        <w:rPr>
          <w:rFonts w:cstheme="minorHAnsi"/>
        </w:rPr>
      </w:pPr>
      <w:r w:rsidRPr="001B73C8">
        <w:rPr>
          <w:rFonts w:cstheme="minorHAnsi"/>
          <w:b/>
          <w:bCs/>
        </w:rPr>
        <w:t xml:space="preserve">EMP </w:t>
      </w:r>
      <w:r w:rsidR="00481087" w:rsidRPr="001B73C8">
        <w:rPr>
          <w:rFonts w:cstheme="minorHAnsi"/>
          <w:b/>
          <w:bCs/>
        </w:rPr>
        <w:t>4.1.4</w:t>
      </w:r>
      <w:r w:rsidR="00481087" w:rsidRPr="003F2EB5">
        <w:rPr>
          <w:rFonts w:cstheme="minorHAnsi"/>
        </w:rPr>
        <w:t xml:space="preserve"> Study and develop mechanisms and regulations to support net zero carbon new construction </w:t>
      </w:r>
    </w:p>
    <w:p w14:paraId="5ECEBEFF" w14:textId="77777777" w:rsidR="007D172D" w:rsidRDefault="001D7493" w:rsidP="00E17FB3">
      <w:pPr>
        <w:spacing w:after="120"/>
        <w:rPr>
          <w:rFonts w:cstheme="minorHAnsi"/>
        </w:rPr>
      </w:pPr>
      <w:r w:rsidRPr="001B73C8">
        <w:rPr>
          <w:rFonts w:cstheme="minorHAnsi"/>
          <w:b/>
          <w:bCs/>
        </w:rPr>
        <w:lastRenderedPageBreak/>
        <w:t xml:space="preserve">EMP </w:t>
      </w:r>
      <w:r w:rsidR="00481087" w:rsidRPr="001B73C8">
        <w:rPr>
          <w:rFonts w:cstheme="minorHAnsi"/>
          <w:b/>
          <w:bCs/>
        </w:rPr>
        <w:t>4.1.5</w:t>
      </w:r>
      <w:r w:rsidR="00481087" w:rsidRPr="003F2EB5">
        <w:rPr>
          <w:rFonts w:cstheme="minorHAnsi"/>
        </w:rPr>
        <w:t xml:space="preserve"> Develop electric vehicle-ready and demand response-ready building codes for new multi-unit dwellings and commercial construction </w:t>
      </w:r>
    </w:p>
    <w:p w14:paraId="66BECB51" w14:textId="160272BE" w:rsidR="007D172D" w:rsidRDefault="0065625D" w:rsidP="00E17FB3">
      <w:pPr>
        <w:spacing w:after="120"/>
        <w:rPr>
          <w:rFonts w:cstheme="minorHAnsi"/>
          <w:color w:val="000000"/>
        </w:rPr>
      </w:pPr>
      <w:r w:rsidRPr="0065625D">
        <w:rPr>
          <w:rFonts w:cstheme="minorHAnsi"/>
          <w:b/>
          <w:bCs/>
        </w:rPr>
        <w:t xml:space="preserve">BE Plan </w:t>
      </w:r>
      <w:r>
        <w:rPr>
          <w:rFonts w:cstheme="minorHAnsi"/>
          <w:b/>
          <w:bCs/>
        </w:rPr>
        <w:t xml:space="preserve">Objective 2. </w:t>
      </w:r>
      <w:r w:rsidR="00714E9D">
        <w:rPr>
          <w:color w:val="000000"/>
          <w:sz w:val="14"/>
          <w:szCs w:val="14"/>
        </w:rPr>
        <w:t> </w:t>
      </w:r>
      <w:r w:rsidR="00634928" w:rsidRPr="00286E09">
        <w:rPr>
          <w:rFonts w:cstheme="minorHAnsi"/>
          <w:color w:val="000000"/>
        </w:rPr>
        <w:t>Cultivate relationships with and l</w:t>
      </w:r>
      <w:r w:rsidR="00714E9D" w:rsidRPr="00286E09">
        <w:rPr>
          <w:rFonts w:cstheme="minorHAnsi"/>
          <w:color w:val="000000"/>
        </w:rPr>
        <w:t>obby key legislators in NJ Senate and NJ Assembly</w:t>
      </w:r>
      <w:r w:rsidR="00C52832">
        <w:rPr>
          <w:rFonts w:cstheme="minorHAnsi"/>
          <w:color w:val="000000"/>
        </w:rPr>
        <w:t xml:space="preserve">, BPU, </w:t>
      </w:r>
      <w:r w:rsidR="00376461">
        <w:rPr>
          <w:rFonts w:cstheme="minorHAnsi"/>
          <w:color w:val="000000"/>
        </w:rPr>
        <w:t>NJDEP, Governor’s office</w:t>
      </w:r>
      <w:r w:rsidR="00714E9D" w:rsidRPr="00286E09">
        <w:rPr>
          <w:rFonts w:cstheme="minorHAnsi"/>
          <w:color w:val="000000"/>
        </w:rPr>
        <w:t xml:space="preserve"> and propose bills</w:t>
      </w:r>
      <w:r w:rsidR="00376461">
        <w:rPr>
          <w:rFonts w:cstheme="minorHAnsi"/>
          <w:color w:val="000000"/>
        </w:rPr>
        <w:t>, regulations, incentives</w:t>
      </w:r>
      <w:r w:rsidR="00673C73">
        <w:rPr>
          <w:rFonts w:cstheme="minorHAnsi"/>
          <w:color w:val="000000"/>
        </w:rPr>
        <w:t>, or Executive Orders</w:t>
      </w:r>
      <w:r w:rsidR="00286E09" w:rsidRPr="00286E09">
        <w:rPr>
          <w:rFonts w:cstheme="minorHAnsi"/>
          <w:color w:val="000000"/>
        </w:rPr>
        <w:t>.</w:t>
      </w:r>
    </w:p>
    <w:p w14:paraId="5CDA9D9B" w14:textId="32D530BD" w:rsidR="0026351C" w:rsidRDefault="0026351C" w:rsidP="009E5F38">
      <w:pPr>
        <w:pStyle w:val="NormalWeb"/>
        <w:numPr>
          <w:ilvl w:val="0"/>
          <w:numId w:val="6"/>
        </w:numPr>
        <w:spacing w:before="0" w:beforeAutospacing="0" w:after="0" w:afterAutospacing="0"/>
        <w:ind w:left="720" w:hanging="288"/>
        <w:rPr>
          <w:rFonts w:asciiTheme="minorHAnsi" w:hAnsiTheme="minorHAnsi" w:cstheme="minorHAnsi"/>
          <w:sz w:val="22"/>
          <w:szCs w:val="22"/>
        </w:rPr>
      </w:pPr>
      <w:r>
        <w:rPr>
          <w:rFonts w:asciiTheme="minorHAnsi" w:hAnsiTheme="minorHAnsi" w:cstheme="minorHAnsi"/>
          <w:sz w:val="22"/>
          <w:szCs w:val="22"/>
        </w:rPr>
        <w:t>Mode</w:t>
      </w:r>
      <w:r w:rsidR="00F82741">
        <w:rPr>
          <w:rFonts w:asciiTheme="minorHAnsi" w:hAnsiTheme="minorHAnsi" w:cstheme="minorHAnsi"/>
          <w:sz w:val="22"/>
          <w:szCs w:val="22"/>
        </w:rPr>
        <w:t>l legislative programs on NY State</w:t>
      </w:r>
      <w:r w:rsidR="006E4C46">
        <w:rPr>
          <w:rFonts w:asciiTheme="minorHAnsi" w:hAnsiTheme="minorHAnsi" w:cstheme="minorHAnsi"/>
          <w:sz w:val="22"/>
          <w:szCs w:val="22"/>
        </w:rPr>
        <w:t xml:space="preserve"> campaign.</w:t>
      </w:r>
    </w:p>
    <w:p w14:paraId="79129154" w14:textId="3B552779" w:rsidR="003C4C23" w:rsidRPr="0026351C" w:rsidRDefault="00283918" w:rsidP="009E5F38">
      <w:pPr>
        <w:pStyle w:val="NormalWeb"/>
        <w:numPr>
          <w:ilvl w:val="0"/>
          <w:numId w:val="6"/>
        </w:numPr>
        <w:spacing w:before="0" w:beforeAutospacing="0" w:after="0" w:afterAutospacing="0"/>
        <w:ind w:left="720" w:hanging="288"/>
        <w:rPr>
          <w:rFonts w:asciiTheme="minorHAnsi" w:hAnsiTheme="minorHAnsi" w:cstheme="minorHAnsi"/>
          <w:sz w:val="22"/>
          <w:szCs w:val="22"/>
        </w:rPr>
      </w:pPr>
      <w:r>
        <w:rPr>
          <w:rFonts w:asciiTheme="minorHAnsi" w:hAnsiTheme="minorHAnsi" w:cstheme="minorHAnsi"/>
          <w:sz w:val="22"/>
          <w:szCs w:val="22"/>
        </w:rPr>
        <w:t>Support a requirement</w:t>
      </w:r>
      <w:r w:rsidR="00C66170">
        <w:rPr>
          <w:rFonts w:asciiTheme="minorHAnsi" w:hAnsiTheme="minorHAnsi" w:cstheme="minorHAnsi"/>
          <w:sz w:val="22"/>
          <w:szCs w:val="22"/>
        </w:rPr>
        <w:t xml:space="preserve"> (page 39, chapter 2 of NJ GWRA 80x50 Report)</w:t>
      </w:r>
      <w:r w:rsidR="007D64EE">
        <w:rPr>
          <w:rFonts w:asciiTheme="minorHAnsi" w:hAnsiTheme="minorHAnsi" w:cstheme="minorHAnsi"/>
          <w:sz w:val="22"/>
          <w:szCs w:val="22"/>
        </w:rPr>
        <w:t xml:space="preserve"> “that all new construction is net zero carbon no later than 2025</w:t>
      </w:r>
      <w:r w:rsidR="00C83138">
        <w:rPr>
          <w:rFonts w:asciiTheme="minorHAnsi" w:hAnsiTheme="minorHAnsi" w:cstheme="minorHAnsi"/>
          <w:sz w:val="22"/>
          <w:szCs w:val="22"/>
        </w:rPr>
        <w:t xml:space="preserve"> in order to alleviate dependence on fossil fuels for building heating and cooling and to avoid the cost of stranded assets.</w:t>
      </w:r>
      <w:r w:rsidR="009E5F38">
        <w:rPr>
          <w:rFonts w:asciiTheme="minorHAnsi" w:hAnsiTheme="minorHAnsi" w:cstheme="minorHAnsi"/>
          <w:sz w:val="22"/>
          <w:szCs w:val="22"/>
        </w:rPr>
        <w:t>”</w:t>
      </w:r>
    </w:p>
    <w:p w14:paraId="7362AB38" w14:textId="5CC3A0CD" w:rsidR="004454A5" w:rsidRPr="00D63174" w:rsidRDefault="001A443B" w:rsidP="009E5F38">
      <w:pPr>
        <w:pStyle w:val="NormalWeb"/>
        <w:numPr>
          <w:ilvl w:val="0"/>
          <w:numId w:val="6"/>
        </w:numPr>
        <w:spacing w:before="0" w:beforeAutospacing="0" w:after="0" w:afterAutospacing="0"/>
        <w:ind w:left="720" w:hanging="288"/>
        <w:rPr>
          <w:rFonts w:asciiTheme="minorHAnsi" w:hAnsiTheme="minorHAnsi" w:cstheme="minorHAnsi"/>
          <w:sz w:val="22"/>
          <w:szCs w:val="22"/>
        </w:rPr>
      </w:pPr>
      <w:r>
        <w:rPr>
          <w:rFonts w:asciiTheme="minorHAnsi" w:hAnsiTheme="minorHAnsi" w:cstheme="minorHAnsi"/>
          <w:color w:val="000000" w:themeColor="text1"/>
          <w:sz w:val="22"/>
          <w:szCs w:val="22"/>
        </w:rPr>
        <w:t>Establish a working relationship with climate-friendly sponsors of NJ legislation:</w:t>
      </w:r>
      <w:r>
        <w:rPr>
          <w:rFonts w:asciiTheme="minorHAnsi" w:hAnsiTheme="minorHAnsi" w:cstheme="minorHAnsi"/>
          <w:color w:val="000000" w:themeColor="text1"/>
          <w:sz w:val="22"/>
          <w:szCs w:val="22"/>
        </w:rPr>
        <w:br/>
      </w:r>
      <w:r w:rsidR="004454A5" w:rsidRPr="004454A5">
        <w:rPr>
          <w:rFonts w:asciiTheme="minorHAnsi" w:hAnsiTheme="minorHAnsi" w:cstheme="minorHAnsi"/>
          <w:color w:val="000000"/>
          <w:sz w:val="22"/>
          <w:szCs w:val="22"/>
          <w:shd w:val="clear" w:color="auto" w:fill="FFFFFF"/>
        </w:rPr>
        <w:t xml:space="preserve"> </w:t>
      </w:r>
      <w:r w:rsidR="004454A5" w:rsidRPr="00D63174">
        <w:rPr>
          <w:rFonts w:asciiTheme="minorHAnsi" w:hAnsiTheme="minorHAnsi" w:cstheme="minorHAnsi"/>
          <w:color w:val="000000"/>
          <w:sz w:val="22"/>
          <w:szCs w:val="22"/>
          <w:shd w:val="clear" w:color="auto" w:fill="FFFFFF"/>
        </w:rPr>
        <w:t>ASM. James Kennedy- Sponsor of A1440-Establishes "Zero Energy Construction Act"; requires all new residential and commercial developments to be zero energy ready; requires developers to offer zero energy construction.</w:t>
      </w:r>
    </w:p>
    <w:p w14:paraId="688B2FB9" w14:textId="77777777" w:rsidR="00FB32CD" w:rsidRPr="00D63174" w:rsidRDefault="00FB32CD" w:rsidP="00EE0237">
      <w:pPr>
        <w:pStyle w:val="NormalWeb"/>
        <w:spacing w:before="0" w:beforeAutospacing="0" w:after="0" w:afterAutospacing="0"/>
        <w:ind w:left="1008" w:hanging="288"/>
        <w:rPr>
          <w:rFonts w:asciiTheme="minorHAnsi" w:hAnsiTheme="minorHAnsi" w:cstheme="minorHAnsi"/>
          <w:sz w:val="22"/>
          <w:szCs w:val="22"/>
        </w:rPr>
      </w:pPr>
      <w:r w:rsidRPr="00D63174">
        <w:rPr>
          <w:rFonts w:asciiTheme="minorHAnsi" w:hAnsiTheme="minorHAnsi" w:cstheme="minorHAnsi"/>
          <w:color w:val="000000"/>
          <w:sz w:val="22"/>
          <w:szCs w:val="22"/>
          <w:shd w:val="clear" w:color="auto" w:fill="FFFFFF"/>
        </w:rPr>
        <w:t>Senator James Beach sponsored Zero Energy Bill last session.</w:t>
      </w:r>
    </w:p>
    <w:p w14:paraId="3EB2AB11" w14:textId="2009B9D9" w:rsidR="00FB32CD" w:rsidRPr="00D63174" w:rsidRDefault="00FB32CD" w:rsidP="00EE0237">
      <w:pPr>
        <w:pStyle w:val="NormalWeb"/>
        <w:spacing w:before="0" w:beforeAutospacing="0" w:after="0" w:afterAutospacing="0"/>
        <w:ind w:left="1008" w:hanging="288"/>
        <w:rPr>
          <w:rFonts w:asciiTheme="minorHAnsi" w:hAnsiTheme="minorHAnsi" w:cstheme="minorHAnsi"/>
          <w:sz w:val="22"/>
          <w:szCs w:val="22"/>
        </w:rPr>
      </w:pPr>
      <w:r w:rsidRPr="00D63174">
        <w:rPr>
          <w:rFonts w:asciiTheme="minorHAnsi" w:hAnsiTheme="minorHAnsi" w:cstheme="minorHAnsi"/>
          <w:color w:val="000000"/>
          <w:sz w:val="22"/>
          <w:szCs w:val="22"/>
          <w:shd w:val="clear" w:color="auto" w:fill="FFFFFF"/>
        </w:rPr>
        <w:t>Senator Bob Smith and Nia Gill voted against S4133 “Gas Lobby Gift</w:t>
      </w:r>
      <w:r w:rsidR="00713011">
        <w:rPr>
          <w:rFonts w:asciiTheme="minorHAnsi" w:hAnsiTheme="minorHAnsi" w:cstheme="minorHAnsi"/>
          <w:color w:val="000000"/>
          <w:sz w:val="22"/>
          <w:szCs w:val="22"/>
          <w:shd w:val="clear" w:color="auto" w:fill="FFFFFF"/>
        </w:rPr>
        <w:t>”</w:t>
      </w:r>
    </w:p>
    <w:p w14:paraId="4E9A1E0A" w14:textId="77777777" w:rsidR="009E3902" w:rsidRDefault="00FB32CD" w:rsidP="00EE0237">
      <w:pPr>
        <w:pStyle w:val="NormalWeb"/>
        <w:spacing w:before="0" w:beforeAutospacing="0" w:after="0" w:afterAutospacing="0"/>
        <w:ind w:left="1008" w:hanging="288"/>
        <w:rPr>
          <w:rFonts w:asciiTheme="minorHAnsi" w:hAnsiTheme="minorHAnsi" w:cstheme="minorHAnsi"/>
          <w:color w:val="000000"/>
          <w:sz w:val="22"/>
          <w:szCs w:val="22"/>
          <w:shd w:val="clear" w:color="auto" w:fill="FFFFFF"/>
        </w:rPr>
      </w:pPr>
      <w:r w:rsidRPr="00D63174">
        <w:rPr>
          <w:rFonts w:asciiTheme="minorHAnsi" w:hAnsiTheme="minorHAnsi" w:cstheme="minorHAnsi"/>
          <w:color w:val="000000"/>
          <w:sz w:val="22"/>
          <w:szCs w:val="22"/>
          <w:shd w:val="clear" w:color="auto" w:fill="FFFFFF"/>
        </w:rPr>
        <w:t>Senator Andrew Zwicker- He was strong climate advocate as Assemblyman</w:t>
      </w:r>
    </w:p>
    <w:p w14:paraId="6759835D" w14:textId="48DF4DFB" w:rsidR="00FB32CD" w:rsidRDefault="001A443B" w:rsidP="001A443B">
      <w:pPr>
        <w:pStyle w:val="NormalWeb"/>
        <w:spacing w:before="0" w:beforeAutospacing="0" w:after="0" w:afterAutospacing="0"/>
        <w:ind w:left="720"/>
        <w:rPr>
          <w:rFonts w:asciiTheme="minorHAnsi" w:hAnsiTheme="minorHAnsi" w:cstheme="minorHAnsi"/>
          <w:color w:val="000000"/>
          <w:sz w:val="22"/>
          <w:szCs w:val="22"/>
          <w:shd w:val="clear" w:color="auto" w:fill="FFFFFF"/>
        </w:rPr>
      </w:pPr>
      <w:r>
        <w:rPr>
          <w:rFonts w:asciiTheme="minorHAnsi" w:hAnsiTheme="minorHAnsi" w:cstheme="minorHAnsi"/>
          <w:sz w:val="22"/>
          <w:szCs w:val="22"/>
        </w:rPr>
        <w:t>Following BE members are i</w:t>
      </w:r>
      <w:r w:rsidR="008B71A0" w:rsidRPr="001506DB">
        <w:rPr>
          <w:rFonts w:asciiTheme="minorHAnsi" w:hAnsiTheme="minorHAnsi" w:cstheme="minorHAnsi"/>
          <w:sz w:val="22"/>
          <w:szCs w:val="22"/>
        </w:rPr>
        <w:t>nterested in legislation</w:t>
      </w:r>
      <w:r w:rsidR="00556190">
        <w:rPr>
          <w:rFonts w:asciiTheme="minorHAnsi" w:hAnsiTheme="minorHAnsi" w:cstheme="minorHAnsi"/>
          <w:sz w:val="22"/>
          <w:szCs w:val="22"/>
        </w:rPr>
        <w:t>:</w:t>
      </w:r>
      <w:r w:rsidR="008B71A0" w:rsidRPr="001506DB">
        <w:rPr>
          <w:rFonts w:asciiTheme="minorHAnsi" w:hAnsiTheme="minorHAnsi" w:cstheme="minorHAnsi"/>
          <w:sz w:val="22"/>
          <w:szCs w:val="22"/>
        </w:rPr>
        <w:t xml:space="preserve"> </w:t>
      </w:r>
      <w:r w:rsidR="008B71A0" w:rsidRPr="007108B8">
        <w:rPr>
          <w:rFonts w:asciiTheme="minorHAnsi" w:hAnsiTheme="minorHAnsi" w:cstheme="minorHAnsi"/>
          <w:color w:val="000000" w:themeColor="text1"/>
          <w:sz w:val="22"/>
          <w:szCs w:val="22"/>
        </w:rPr>
        <w:t xml:space="preserve">May Faulk </w:t>
      </w:r>
      <w:hyperlink r:id="rId8" w:history="1">
        <w:r w:rsidR="008B71A0" w:rsidRPr="001506DB">
          <w:rPr>
            <w:rStyle w:val="Hyperlink"/>
            <w:rFonts w:asciiTheme="minorHAnsi" w:hAnsiTheme="minorHAnsi" w:cstheme="minorHAnsi"/>
            <w:sz w:val="22"/>
            <w:szCs w:val="22"/>
          </w:rPr>
          <w:t>faulk_@hotmail.com</w:t>
        </w:r>
      </w:hyperlink>
      <w:r w:rsidR="008B71A0" w:rsidRPr="001506DB">
        <w:rPr>
          <w:rFonts w:asciiTheme="minorHAnsi" w:hAnsiTheme="minorHAnsi" w:cstheme="minorHAnsi"/>
          <w:sz w:val="22"/>
          <w:szCs w:val="22"/>
        </w:rPr>
        <w:t xml:space="preserve">, </w:t>
      </w:r>
      <w:r w:rsidR="008B71A0" w:rsidRPr="007108B8">
        <w:rPr>
          <w:rFonts w:asciiTheme="minorHAnsi" w:hAnsiTheme="minorHAnsi" w:cstheme="minorHAnsi"/>
          <w:color w:val="000000" w:themeColor="text1"/>
          <w:sz w:val="22"/>
          <w:szCs w:val="22"/>
        </w:rPr>
        <w:t xml:space="preserve">Greg Gorman </w:t>
      </w:r>
      <w:r w:rsidR="00864E2C">
        <w:rPr>
          <w:rFonts w:asciiTheme="minorHAnsi" w:hAnsiTheme="minorHAnsi" w:cstheme="minorHAnsi"/>
          <w:color w:val="000000" w:themeColor="text1"/>
          <w:sz w:val="22"/>
          <w:szCs w:val="22"/>
        </w:rPr>
        <w:t>(Champion)</w:t>
      </w:r>
      <w:r w:rsidR="00DA11FA">
        <w:rPr>
          <w:rFonts w:asciiTheme="minorHAnsi" w:hAnsiTheme="minorHAnsi" w:cstheme="minorHAnsi"/>
          <w:color w:val="000000" w:themeColor="text1"/>
          <w:sz w:val="22"/>
          <w:szCs w:val="22"/>
        </w:rPr>
        <w:t xml:space="preserve"> </w:t>
      </w:r>
      <w:hyperlink r:id="rId9" w:history="1">
        <w:r w:rsidR="00DA11FA" w:rsidRPr="002736AB">
          <w:rPr>
            <w:rStyle w:val="Hyperlink"/>
            <w:rFonts w:asciiTheme="minorHAnsi" w:hAnsiTheme="minorHAnsi" w:cstheme="minorHAnsi"/>
            <w:sz w:val="22"/>
            <w:szCs w:val="22"/>
          </w:rPr>
          <w:t>ggorman07419@embarqmail.com</w:t>
        </w:r>
      </w:hyperlink>
      <w:r w:rsidR="008B71A0" w:rsidRPr="001506DB">
        <w:rPr>
          <w:rFonts w:asciiTheme="minorHAnsi" w:hAnsiTheme="minorHAnsi" w:cstheme="minorHAnsi"/>
          <w:sz w:val="22"/>
          <w:szCs w:val="22"/>
        </w:rPr>
        <w:t xml:space="preserve">, </w:t>
      </w:r>
      <w:r w:rsidR="008B71A0" w:rsidRPr="002347F2">
        <w:rPr>
          <w:rFonts w:asciiTheme="minorHAnsi" w:hAnsiTheme="minorHAnsi" w:cstheme="minorHAnsi"/>
          <w:color w:val="000000" w:themeColor="text1"/>
          <w:sz w:val="22"/>
          <w:szCs w:val="22"/>
        </w:rPr>
        <w:t xml:space="preserve">David Korfhage </w:t>
      </w:r>
      <w:hyperlink r:id="rId10" w:history="1">
        <w:r w:rsidR="008B71A0" w:rsidRPr="002736AB">
          <w:rPr>
            <w:rStyle w:val="Hyperlink"/>
            <w:rFonts w:asciiTheme="minorHAnsi" w:hAnsiTheme="minorHAnsi" w:cstheme="minorHAnsi"/>
            <w:sz w:val="22"/>
            <w:szCs w:val="22"/>
          </w:rPr>
          <w:t>drkorfhage@gmail.com</w:t>
        </w:r>
      </w:hyperlink>
    </w:p>
    <w:p w14:paraId="58636599" w14:textId="4E6E3013" w:rsidR="00DA11FA" w:rsidRPr="009F4C44" w:rsidRDefault="001A443B" w:rsidP="00DA11FA">
      <w:pPr>
        <w:pStyle w:val="NormalWeb"/>
        <w:numPr>
          <w:ilvl w:val="0"/>
          <w:numId w:val="6"/>
        </w:numPr>
        <w:spacing w:before="0" w:beforeAutospacing="0" w:after="0" w:afterAutospacing="0"/>
        <w:ind w:left="720" w:hanging="288"/>
        <w:rPr>
          <w:rFonts w:asciiTheme="minorHAnsi" w:hAnsiTheme="minorHAnsi" w:cstheme="minorHAnsi"/>
          <w:sz w:val="22"/>
          <w:szCs w:val="22"/>
        </w:rPr>
      </w:pPr>
      <w:r>
        <w:rPr>
          <w:rFonts w:asciiTheme="minorHAnsi" w:hAnsiTheme="minorHAnsi" w:cstheme="minorHAnsi"/>
          <w:sz w:val="22"/>
          <w:szCs w:val="22"/>
        </w:rPr>
        <w:t>Lobby Gov. Murphy</w:t>
      </w:r>
      <w:r w:rsidR="00DA11FA" w:rsidRPr="000F53F1">
        <w:rPr>
          <w:rFonts w:asciiTheme="minorHAnsi" w:hAnsiTheme="minorHAnsi" w:cstheme="minorHAnsi"/>
          <w:color w:val="000000"/>
          <w:sz w:val="22"/>
          <w:szCs w:val="22"/>
        </w:rPr>
        <w:t xml:space="preserve"> to expand scope of the current "Climate Office and the Green Economy" to include a roadmap for "Building Electrification</w:t>
      </w:r>
      <w:r w:rsidR="00DA11FA">
        <w:rPr>
          <w:rFonts w:asciiTheme="minorHAnsi" w:hAnsiTheme="minorHAnsi" w:cstheme="minorHAnsi"/>
          <w:color w:val="000000"/>
          <w:sz w:val="22"/>
          <w:szCs w:val="22"/>
        </w:rPr>
        <w:t>.</w:t>
      </w:r>
      <w:r w:rsidR="00DA11FA" w:rsidRPr="000F53F1">
        <w:rPr>
          <w:rFonts w:asciiTheme="minorHAnsi" w:hAnsiTheme="minorHAnsi" w:cstheme="minorHAnsi"/>
          <w:color w:val="000000"/>
          <w:sz w:val="22"/>
          <w:szCs w:val="22"/>
        </w:rPr>
        <w:t>"</w:t>
      </w:r>
    </w:p>
    <w:p w14:paraId="5AE504A2" w14:textId="6F47BCE9" w:rsidR="009F4C44" w:rsidRPr="003552F9" w:rsidRDefault="009F4C44" w:rsidP="009F4C44">
      <w:pPr>
        <w:pStyle w:val="NormalWeb"/>
        <w:spacing w:before="0" w:beforeAutospacing="0" w:after="0" w:afterAutospacing="0"/>
        <w:ind w:left="432"/>
        <w:rPr>
          <w:rFonts w:asciiTheme="minorHAnsi" w:hAnsiTheme="minorHAnsi" w:cstheme="minorHAnsi"/>
          <w:i/>
          <w:iCs/>
          <w:sz w:val="22"/>
          <w:szCs w:val="22"/>
        </w:rPr>
      </w:pPr>
      <w:r w:rsidRPr="003552F9">
        <w:rPr>
          <w:rFonts w:asciiTheme="minorHAnsi" w:hAnsiTheme="minorHAnsi" w:cstheme="minorHAnsi"/>
          <w:i/>
          <w:iCs/>
          <w:sz w:val="22"/>
          <w:szCs w:val="22"/>
        </w:rPr>
        <w:t>Points below were suggested without</w:t>
      </w:r>
      <w:r w:rsidR="00496EDA" w:rsidRPr="003552F9">
        <w:rPr>
          <w:rFonts w:asciiTheme="minorHAnsi" w:hAnsiTheme="minorHAnsi" w:cstheme="minorHAnsi"/>
          <w:i/>
          <w:iCs/>
          <w:sz w:val="22"/>
          <w:szCs w:val="22"/>
        </w:rPr>
        <w:t xml:space="preserve"> any identifying name. To move forward they must have a champion.</w:t>
      </w:r>
    </w:p>
    <w:p w14:paraId="682C5C43" w14:textId="10E4B559" w:rsidR="004F4E9C" w:rsidRPr="004F4E9C" w:rsidRDefault="004F4E9C" w:rsidP="009E5F38">
      <w:pPr>
        <w:pStyle w:val="NormalWeb"/>
        <w:numPr>
          <w:ilvl w:val="0"/>
          <w:numId w:val="6"/>
        </w:numPr>
        <w:spacing w:before="0" w:beforeAutospacing="0" w:after="0" w:afterAutospacing="0"/>
        <w:ind w:left="720" w:hanging="288"/>
        <w:rPr>
          <w:rFonts w:asciiTheme="minorHAnsi" w:hAnsiTheme="minorHAnsi" w:cstheme="minorHAnsi"/>
          <w:sz w:val="22"/>
          <w:szCs w:val="22"/>
        </w:rPr>
      </w:pPr>
      <w:r w:rsidRPr="004F4E9C">
        <w:rPr>
          <w:rFonts w:asciiTheme="minorHAnsi" w:hAnsiTheme="minorHAnsi" w:cstheme="minorHAnsi"/>
          <w:color w:val="000000"/>
          <w:sz w:val="22"/>
          <w:szCs w:val="22"/>
        </w:rPr>
        <w:t>BPU needs to reform the Clean Energy Incentive Program to encourage adoption of electric and geothermal heat pump technology for building retrofits and new construction. </w:t>
      </w:r>
    </w:p>
    <w:p w14:paraId="08DC7067" w14:textId="77777777" w:rsidR="004F4E9C" w:rsidRPr="004F4E9C" w:rsidRDefault="004F4E9C" w:rsidP="009E5F38">
      <w:pPr>
        <w:pStyle w:val="NormalWeb"/>
        <w:numPr>
          <w:ilvl w:val="0"/>
          <w:numId w:val="6"/>
        </w:numPr>
        <w:spacing w:before="0" w:beforeAutospacing="0" w:after="0" w:afterAutospacing="0"/>
        <w:ind w:left="720" w:hanging="288"/>
        <w:rPr>
          <w:rFonts w:asciiTheme="minorHAnsi" w:hAnsiTheme="minorHAnsi" w:cstheme="minorHAnsi"/>
          <w:sz w:val="22"/>
          <w:szCs w:val="22"/>
        </w:rPr>
      </w:pPr>
      <w:r w:rsidRPr="004F4E9C">
        <w:rPr>
          <w:rFonts w:asciiTheme="minorHAnsi" w:hAnsiTheme="minorHAnsi" w:cstheme="minorHAnsi"/>
          <w:color w:val="000000"/>
          <w:sz w:val="22"/>
          <w:szCs w:val="22"/>
        </w:rPr>
        <w:t>BPU needs to encourage commercial electrification not only for space heating but for heating demands to provide goods and services</w:t>
      </w:r>
    </w:p>
    <w:p w14:paraId="747842B3" w14:textId="74371B52" w:rsidR="00C26F11" w:rsidRPr="00FF389A" w:rsidRDefault="001E1783" w:rsidP="009E5F38">
      <w:pPr>
        <w:pStyle w:val="NormalWeb"/>
        <w:numPr>
          <w:ilvl w:val="0"/>
          <w:numId w:val="6"/>
        </w:numPr>
        <w:spacing w:before="0" w:beforeAutospacing="0" w:after="0" w:afterAutospacing="0"/>
        <w:ind w:left="720" w:hanging="288"/>
        <w:rPr>
          <w:rFonts w:asciiTheme="minorHAnsi" w:hAnsiTheme="minorHAnsi" w:cstheme="minorHAnsi"/>
          <w:sz w:val="22"/>
          <w:szCs w:val="22"/>
        </w:rPr>
      </w:pPr>
      <w:r>
        <w:rPr>
          <w:rFonts w:asciiTheme="minorHAnsi" w:hAnsiTheme="minorHAnsi" w:cstheme="minorHAnsi"/>
          <w:color w:val="000000"/>
          <w:sz w:val="22"/>
          <w:szCs w:val="22"/>
        </w:rPr>
        <w:t>The Clean Energy Act of 2018 (P.L.2018 c. 17</w:t>
      </w:r>
      <w:r w:rsidR="0003229A">
        <w:rPr>
          <w:rFonts w:asciiTheme="minorHAnsi" w:hAnsiTheme="minorHAnsi" w:cstheme="minorHAnsi"/>
          <w:color w:val="000000"/>
          <w:sz w:val="22"/>
          <w:szCs w:val="22"/>
        </w:rPr>
        <w:t>) provides that within five years the NJBPU req</w:t>
      </w:r>
      <w:r w:rsidR="000D7A57">
        <w:rPr>
          <w:rFonts w:asciiTheme="minorHAnsi" w:hAnsiTheme="minorHAnsi" w:cstheme="minorHAnsi"/>
          <w:color w:val="000000"/>
          <w:sz w:val="22"/>
          <w:szCs w:val="22"/>
        </w:rPr>
        <w:t>uire</w:t>
      </w:r>
      <w:r w:rsidR="001A443B">
        <w:rPr>
          <w:rFonts w:asciiTheme="minorHAnsi" w:hAnsiTheme="minorHAnsi" w:cstheme="minorHAnsi"/>
          <w:color w:val="000000"/>
          <w:sz w:val="22"/>
          <w:szCs w:val="22"/>
        </w:rPr>
        <w:t>s</w:t>
      </w:r>
      <w:r w:rsidR="000D7A57">
        <w:rPr>
          <w:rFonts w:asciiTheme="minorHAnsi" w:hAnsiTheme="minorHAnsi" w:cstheme="minorHAnsi"/>
          <w:color w:val="000000"/>
          <w:sz w:val="22"/>
          <w:szCs w:val="22"/>
        </w:rPr>
        <w:t xml:space="preserve"> benchmarking by owners and operators of commercial buildings over 25,000 s</w:t>
      </w:r>
      <w:r w:rsidR="009041BC">
        <w:rPr>
          <w:rFonts w:asciiTheme="minorHAnsi" w:hAnsiTheme="minorHAnsi" w:cstheme="minorHAnsi"/>
          <w:color w:val="000000"/>
          <w:sz w:val="22"/>
          <w:szCs w:val="22"/>
        </w:rPr>
        <w:t>q</w:t>
      </w:r>
      <w:r w:rsidR="000D7A57">
        <w:rPr>
          <w:rFonts w:asciiTheme="minorHAnsi" w:hAnsiTheme="minorHAnsi" w:cstheme="minorHAnsi"/>
          <w:color w:val="000000"/>
          <w:sz w:val="22"/>
          <w:szCs w:val="22"/>
        </w:rPr>
        <w:t xml:space="preserve">. </w:t>
      </w:r>
      <w:r w:rsidR="009041BC">
        <w:rPr>
          <w:rFonts w:asciiTheme="minorHAnsi" w:hAnsiTheme="minorHAnsi" w:cstheme="minorHAnsi"/>
          <w:color w:val="000000"/>
          <w:sz w:val="22"/>
          <w:szCs w:val="22"/>
        </w:rPr>
        <w:t>f</w:t>
      </w:r>
      <w:r w:rsidR="000D7A57">
        <w:rPr>
          <w:rFonts w:asciiTheme="minorHAnsi" w:hAnsiTheme="minorHAnsi" w:cstheme="minorHAnsi"/>
          <w:color w:val="000000"/>
          <w:sz w:val="22"/>
          <w:szCs w:val="22"/>
        </w:rPr>
        <w:t>t. using the USEPA Portfolio Manager tool. Source:</w:t>
      </w:r>
      <w:r w:rsidR="00640C9D">
        <w:rPr>
          <w:rFonts w:asciiTheme="minorHAnsi" w:hAnsiTheme="minorHAnsi" w:cstheme="minorHAnsi"/>
          <w:color w:val="000000"/>
          <w:sz w:val="22"/>
          <w:szCs w:val="22"/>
        </w:rPr>
        <w:t xml:space="preserve"> </w:t>
      </w:r>
      <w:hyperlink r:id="rId11" w:history="1">
        <w:r w:rsidR="00527617" w:rsidRPr="002736AB">
          <w:rPr>
            <w:rStyle w:val="Hyperlink"/>
            <w:rFonts w:asciiTheme="minorHAnsi" w:hAnsiTheme="minorHAnsi" w:cstheme="minorHAnsi"/>
            <w:sz w:val="22"/>
            <w:szCs w:val="22"/>
            <w:shd w:val="clear" w:color="auto" w:fill="F5F5F5"/>
          </w:rPr>
          <w:t>https://climatexchange.org/network/map/new-jersey/</w:t>
        </w:r>
      </w:hyperlink>
    </w:p>
    <w:p w14:paraId="11D8636A" w14:textId="2E8F6A74" w:rsidR="0034138E" w:rsidRPr="00D32661" w:rsidRDefault="00B676C7" w:rsidP="009E5F38">
      <w:pPr>
        <w:pStyle w:val="ListParagraph"/>
        <w:numPr>
          <w:ilvl w:val="0"/>
          <w:numId w:val="6"/>
        </w:numPr>
        <w:spacing w:after="0"/>
        <w:ind w:hanging="288"/>
        <w:rPr>
          <w:rFonts w:cstheme="minorHAnsi"/>
        </w:rPr>
      </w:pPr>
      <w:r w:rsidRPr="00D32661">
        <w:rPr>
          <w:rFonts w:cstheme="minorHAnsi"/>
        </w:rPr>
        <w:t>Expect Department of Community Affairs to adopt standard</w:t>
      </w:r>
      <w:r w:rsidR="00345AED" w:rsidRPr="00D32661">
        <w:rPr>
          <w:rFonts w:cstheme="minorHAnsi"/>
        </w:rPr>
        <w:t xml:space="preserve"> IECC building codes for the next </w:t>
      </w:r>
      <w:r w:rsidR="009F7B99">
        <w:rPr>
          <w:rFonts w:cstheme="minorHAnsi"/>
        </w:rPr>
        <w:t xml:space="preserve">three      </w:t>
      </w:r>
      <w:r w:rsidR="00345AED" w:rsidRPr="00D32661">
        <w:rPr>
          <w:rFonts w:cstheme="minorHAnsi"/>
        </w:rPr>
        <w:t xml:space="preserve"> 3-year cycle</w:t>
      </w:r>
      <w:r w:rsidR="00310C09" w:rsidRPr="00D32661">
        <w:rPr>
          <w:rFonts w:cstheme="minorHAnsi"/>
        </w:rPr>
        <w:t xml:space="preserve">s, but advocate for the legislature to enable “stretch codes” that allow cities to </w:t>
      </w:r>
      <w:r w:rsidR="00DF2A73" w:rsidRPr="00D32661">
        <w:rPr>
          <w:rFonts w:cstheme="minorHAnsi"/>
        </w:rPr>
        <w:t>accelerate the transition to electrification</w:t>
      </w:r>
      <w:r w:rsidR="00AE54E0" w:rsidRPr="00D32661">
        <w:rPr>
          <w:rFonts w:cstheme="minorHAnsi"/>
        </w:rPr>
        <w:t xml:space="preserve">, and </w:t>
      </w:r>
      <w:r w:rsidR="00984FEF" w:rsidRPr="00D32661">
        <w:rPr>
          <w:rFonts w:cstheme="minorHAnsi"/>
        </w:rPr>
        <w:t>have Sustainable Jersey aggressively push these.</w:t>
      </w:r>
    </w:p>
    <w:p w14:paraId="03A2B3EB" w14:textId="5C5C8101" w:rsidR="00351C6B" w:rsidRPr="00D84287" w:rsidRDefault="001D7493" w:rsidP="00D84287">
      <w:pPr>
        <w:spacing w:after="120"/>
        <w:rPr>
          <w:rFonts w:cstheme="minorHAnsi"/>
        </w:rPr>
      </w:pPr>
      <w:r w:rsidRPr="001B73C8">
        <w:rPr>
          <w:rFonts w:cstheme="minorHAnsi"/>
          <w:b/>
          <w:bCs/>
        </w:rPr>
        <w:t xml:space="preserve">EMP </w:t>
      </w:r>
      <w:r w:rsidR="00481087" w:rsidRPr="001B73C8">
        <w:rPr>
          <w:rFonts w:cstheme="minorHAnsi"/>
          <w:b/>
          <w:bCs/>
        </w:rPr>
        <w:t>4.2</w:t>
      </w:r>
      <w:r w:rsidR="00481087" w:rsidRPr="003F2EB5">
        <w:rPr>
          <w:rFonts w:cstheme="minorHAnsi"/>
        </w:rPr>
        <w:t xml:space="preserve"> Start the transition to electrify existing oil- and propane-fueled buildings</w:t>
      </w:r>
      <w:r w:rsidR="00372C42">
        <w:rPr>
          <w:rFonts w:cstheme="minorHAnsi"/>
        </w:rPr>
        <w:t>.</w:t>
      </w:r>
      <w:r w:rsidR="00481087" w:rsidRPr="003F2EB5">
        <w:rPr>
          <w:rFonts w:cstheme="minorHAnsi"/>
        </w:rPr>
        <w:t xml:space="preserve"> </w:t>
      </w:r>
      <w:r w:rsidR="00372C42">
        <w:rPr>
          <w:rFonts w:cstheme="minorHAnsi"/>
          <w:b/>
          <w:bCs/>
          <w:i/>
          <w:iCs/>
        </w:rPr>
        <w:t>BE Plan note:</w:t>
      </w:r>
      <w:r w:rsidR="00F43550">
        <w:rPr>
          <w:rFonts w:cstheme="minorHAnsi"/>
          <w:b/>
          <w:bCs/>
          <w:i/>
          <w:iCs/>
        </w:rPr>
        <w:t xml:space="preserve"> This point needs to be expanded to ALL </w:t>
      </w:r>
      <w:r w:rsidR="004D6992">
        <w:rPr>
          <w:rFonts w:cstheme="minorHAnsi"/>
          <w:b/>
          <w:bCs/>
          <w:i/>
          <w:iCs/>
        </w:rPr>
        <w:t>gas</w:t>
      </w:r>
      <w:r w:rsidR="0020232B">
        <w:rPr>
          <w:rFonts w:cstheme="minorHAnsi"/>
          <w:b/>
          <w:bCs/>
          <w:i/>
          <w:iCs/>
        </w:rPr>
        <w:t>-</w:t>
      </w:r>
      <w:r w:rsidR="004D6992">
        <w:rPr>
          <w:rFonts w:cstheme="minorHAnsi"/>
          <w:b/>
          <w:bCs/>
          <w:i/>
          <w:iCs/>
        </w:rPr>
        <w:t xml:space="preserve"> and oil-fueled</w:t>
      </w:r>
      <w:r w:rsidR="00317360">
        <w:rPr>
          <w:rFonts w:cstheme="minorHAnsi"/>
          <w:b/>
          <w:bCs/>
          <w:i/>
          <w:iCs/>
        </w:rPr>
        <w:t xml:space="preserve"> buildings</w:t>
      </w:r>
      <w:r w:rsidR="007666F2">
        <w:rPr>
          <w:rFonts w:cstheme="minorHAnsi"/>
          <w:b/>
          <w:bCs/>
          <w:i/>
          <w:iCs/>
        </w:rPr>
        <w:t>, and</w:t>
      </w:r>
      <w:r w:rsidR="000E7782">
        <w:rPr>
          <w:rFonts w:cstheme="minorHAnsi"/>
          <w:b/>
          <w:bCs/>
          <w:i/>
          <w:iCs/>
        </w:rPr>
        <w:t xml:space="preserve"> </w:t>
      </w:r>
      <w:r w:rsidR="003614AE">
        <w:rPr>
          <w:rFonts w:cstheme="minorHAnsi"/>
          <w:b/>
          <w:bCs/>
          <w:i/>
          <w:iCs/>
        </w:rPr>
        <w:t xml:space="preserve">electric </w:t>
      </w:r>
      <w:r w:rsidR="00B21BBF">
        <w:rPr>
          <w:rFonts w:cstheme="minorHAnsi"/>
          <w:b/>
          <w:bCs/>
          <w:i/>
          <w:iCs/>
        </w:rPr>
        <w:t xml:space="preserve">resistance </w:t>
      </w:r>
      <w:r w:rsidR="00C92681">
        <w:rPr>
          <w:rFonts w:cstheme="minorHAnsi"/>
          <w:b/>
          <w:bCs/>
          <w:i/>
          <w:iCs/>
        </w:rPr>
        <w:t>heating</w:t>
      </w:r>
      <w:r w:rsidR="00B21BBF">
        <w:rPr>
          <w:rFonts w:cstheme="minorHAnsi"/>
          <w:b/>
          <w:bCs/>
          <w:i/>
          <w:iCs/>
        </w:rPr>
        <w:t xml:space="preserve"> (e.g. electric baseboard heating)</w:t>
      </w:r>
      <w:r w:rsidR="00C92681">
        <w:rPr>
          <w:rFonts w:cstheme="minorHAnsi"/>
          <w:b/>
          <w:bCs/>
          <w:i/>
          <w:iCs/>
        </w:rPr>
        <w:t xml:space="preserve"> </w:t>
      </w:r>
      <w:r w:rsidR="00B21BBF">
        <w:rPr>
          <w:rFonts w:cstheme="minorHAnsi"/>
          <w:b/>
          <w:bCs/>
          <w:i/>
          <w:iCs/>
        </w:rPr>
        <w:t>must</w:t>
      </w:r>
      <w:r w:rsidR="00C92681">
        <w:rPr>
          <w:rFonts w:cstheme="minorHAnsi"/>
          <w:b/>
          <w:bCs/>
          <w:i/>
          <w:iCs/>
        </w:rPr>
        <w:t xml:space="preserve"> be upgraded to heat pump</w:t>
      </w:r>
      <w:r w:rsidR="00317360">
        <w:rPr>
          <w:rFonts w:cstheme="minorHAnsi"/>
          <w:b/>
          <w:bCs/>
          <w:i/>
          <w:iCs/>
        </w:rPr>
        <w:t xml:space="preserve">. The switch to </w:t>
      </w:r>
      <w:r w:rsidR="004A4D58">
        <w:rPr>
          <w:rFonts w:cstheme="minorHAnsi"/>
          <w:b/>
          <w:bCs/>
          <w:i/>
          <w:iCs/>
        </w:rPr>
        <w:t>electric heat and appliances should be</w:t>
      </w:r>
      <w:r w:rsidR="00B21BBF">
        <w:rPr>
          <w:rFonts w:cstheme="minorHAnsi"/>
          <w:b/>
          <w:bCs/>
          <w:i/>
          <w:iCs/>
        </w:rPr>
        <w:t xml:space="preserve"> immediately</w:t>
      </w:r>
      <w:r w:rsidR="004A4D58">
        <w:rPr>
          <w:rFonts w:cstheme="minorHAnsi"/>
          <w:b/>
          <w:bCs/>
          <w:i/>
          <w:iCs/>
        </w:rPr>
        <w:t xml:space="preserve"> </w:t>
      </w:r>
      <w:r w:rsidR="003A6819">
        <w:rPr>
          <w:rFonts w:cstheme="minorHAnsi"/>
          <w:b/>
          <w:bCs/>
          <w:i/>
          <w:iCs/>
        </w:rPr>
        <w:t>incentivized for ANY</w:t>
      </w:r>
      <w:r w:rsidR="00D4613C">
        <w:rPr>
          <w:rFonts w:cstheme="minorHAnsi"/>
          <w:b/>
          <w:bCs/>
          <w:i/>
          <w:iCs/>
        </w:rPr>
        <w:t xml:space="preserve"> appliance </w:t>
      </w:r>
      <w:r w:rsidR="00C51733">
        <w:rPr>
          <w:rFonts w:cstheme="minorHAnsi"/>
          <w:b/>
          <w:bCs/>
          <w:i/>
          <w:iCs/>
        </w:rPr>
        <w:t>upon the need for replacement.</w:t>
      </w:r>
      <w:r w:rsidR="00C024D5">
        <w:rPr>
          <w:rFonts w:cstheme="minorHAnsi"/>
          <w:b/>
          <w:bCs/>
          <w:i/>
          <w:iCs/>
        </w:rPr>
        <w:t xml:space="preserve"> As noted in the IEP findings above, “</w:t>
      </w:r>
      <w:r w:rsidR="00A9125D">
        <w:rPr>
          <w:rFonts w:cstheme="minorHAnsi"/>
          <w:b/>
          <w:bCs/>
          <w:i/>
          <w:iCs/>
        </w:rPr>
        <w:t>building heating and cooling appliance costs are lower when buildings are electrified</w:t>
      </w:r>
      <w:r w:rsidR="00EB514F">
        <w:rPr>
          <w:rFonts w:cstheme="minorHAnsi"/>
          <w:b/>
          <w:bCs/>
          <w:i/>
          <w:iCs/>
        </w:rPr>
        <w:t>.</w:t>
      </w:r>
      <w:r w:rsidR="00214284">
        <w:rPr>
          <w:rFonts w:cstheme="minorHAnsi"/>
          <w:b/>
          <w:bCs/>
          <w:i/>
          <w:iCs/>
        </w:rPr>
        <w:t xml:space="preserve"> </w:t>
      </w:r>
      <w:r w:rsidR="006C3E86">
        <w:rPr>
          <w:rFonts w:cstheme="minorHAnsi"/>
          <w:b/>
          <w:bCs/>
          <w:i/>
          <w:iCs/>
        </w:rPr>
        <w:t>… Building electrification reduces total energy use</w:t>
      </w:r>
      <w:r w:rsidR="00636637">
        <w:rPr>
          <w:rFonts w:cstheme="minorHAnsi"/>
          <w:b/>
          <w:bCs/>
          <w:i/>
          <w:iCs/>
        </w:rPr>
        <w:t xml:space="preserve"> [and energy costs].</w:t>
      </w:r>
      <w:r w:rsidR="00EB514F">
        <w:rPr>
          <w:rFonts w:cstheme="minorHAnsi"/>
          <w:b/>
          <w:bCs/>
          <w:i/>
          <w:iCs/>
        </w:rPr>
        <w:t>”</w:t>
      </w:r>
    </w:p>
    <w:p w14:paraId="668F44F3" w14:textId="694F2679" w:rsidR="00481087" w:rsidRPr="003F2EB5" w:rsidRDefault="001D7493" w:rsidP="00E17FB3">
      <w:pPr>
        <w:spacing w:after="120"/>
        <w:rPr>
          <w:rFonts w:cstheme="minorHAnsi"/>
        </w:rPr>
      </w:pPr>
      <w:r w:rsidRPr="001B73C8">
        <w:rPr>
          <w:rFonts w:cstheme="minorHAnsi"/>
          <w:b/>
          <w:bCs/>
        </w:rPr>
        <w:t xml:space="preserve">EMP </w:t>
      </w:r>
      <w:r w:rsidR="00481087" w:rsidRPr="001B73C8">
        <w:rPr>
          <w:rFonts w:cstheme="minorHAnsi"/>
          <w:b/>
          <w:bCs/>
        </w:rPr>
        <w:t>4.2.1</w:t>
      </w:r>
      <w:r w:rsidR="00481087" w:rsidRPr="003F2EB5">
        <w:rPr>
          <w:rFonts w:cstheme="minorHAnsi"/>
        </w:rPr>
        <w:t xml:space="preserve"> Incentivize transition to electrified heat pumps, hot water heaters, and other appliances </w:t>
      </w:r>
    </w:p>
    <w:p w14:paraId="25DE1046" w14:textId="640A943D" w:rsidR="00481087" w:rsidRDefault="001D7493" w:rsidP="00E17FB3">
      <w:pPr>
        <w:spacing w:after="120"/>
        <w:rPr>
          <w:rFonts w:cstheme="minorHAnsi"/>
        </w:rPr>
      </w:pPr>
      <w:r w:rsidRPr="001B73C8">
        <w:rPr>
          <w:rFonts w:cstheme="minorHAnsi"/>
          <w:b/>
          <w:bCs/>
        </w:rPr>
        <w:t xml:space="preserve">EMP </w:t>
      </w:r>
      <w:r w:rsidR="00481087" w:rsidRPr="001B73C8">
        <w:rPr>
          <w:rFonts w:cstheme="minorHAnsi"/>
          <w:b/>
          <w:bCs/>
        </w:rPr>
        <w:t>4.2.2</w:t>
      </w:r>
      <w:r w:rsidR="00481087" w:rsidRPr="003F2EB5">
        <w:rPr>
          <w:rFonts w:cstheme="minorHAnsi"/>
        </w:rPr>
        <w:t xml:space="preserve"> Develop a transition plan to a fully electrified building sector</w:t>
      </w:r>
    </w:p>
    <w:p w14:paraId="133E6BB0" w14:textId="5006FB74" w:rsidR="009967D9" w:rsidRDefault="008B5991" w:rsidP="00E17FB3">
      <w:pPr>
        <w:spacing w:after="120"/>
        <w:rPr>
          <w:rFonts w:cstheme="minorHAnsi"/>
          <w:color w:val="000000"/>
        </w:rPr>
      </w:pPr>
      <w:r w:rsidRPr="005C561E">
        <w:rPr>
          <w:rFonts w:cstheme="minorHAnsi"/>
          <w:b/>
          <w:bCs/>
          <w:color w:val="000000"/>
        </w:rPr>
        <w:t>BE Plan</w:t>
      </w:r>
      <w:r w:rsidR="005C561E">
        <w:rPr>
          <w:rFonts w:cstheme="minorHAnsi"/>
          <w:b/>
          <w:bCs/>
          <w:color w:val="000000"/>
        </w:rPr>
        <w:t xml:space="preserve"> Objective</w:t>
      </w:r>
      <w:r w:rsidR="009D561D">
        <w:rPr>
          <w:rFonts w:cstheme="minorHAnsi"/>
          <w:b/>
          <w:bCs/>
          <w:color w:val="000000"/>
        </w:rPr>
        <w:t xml:space="preserve"> </w:t>
      </w:r>
      <w:r w:rsidR="00F0076E">
        <w:rPr>
          <w:rFonts w:cstheme="minorHAnsi"/>
          <w:b/>
          <w:bCs/>
          <w:color w:val="000000"/>
        </w:rPr>
        <w:t>3</w:t>
      </w:r>
      <w:r w:rsidR="009D561D">
        <w:rPr>
          <w:rFonts w:cstheme="minorHAnsi"/>
          <w:b/>
          <w:bCs/>
          <w:color w:val="000000"/>
        </w:rPr>
        <w:t>.</w:t>
      </w:r>
      <w:r w:rsidRPr="005C561E">
        <w:rPr>
          <w:rFonts w:cstheme="minorHAnsi"/>
          <w:b/>
          <w:bCs/>
          <w:color w:val="000000"/>
        </w:rPr>
        <w:t xml:space="preserve"> </w:t>
      </w:r>
      <w:r w:rsidRPr="005C561E">
        <w:rPr>
          <w:rFonts w:cstheme="minorHAnsi"/>
          <w:color w:val="000000"/>
        </w:rPr>
        <w:t>Educate HVAC techs and customer-facing employees on benefits of heat pumps over fossil fuel; various configurations that might be applicable and installation knowledge.</w:t>
      </w:r>
    </w:p>
    <w:p w14:paraId="4A9D3438" w14:textId="7A6C4331" w:rsidR="009D561D" w:rsidRDefault="003E47F4" w:rsidP="009310D8">
      <w:pPr>
        <w:pStyle w:val="ListParagraph"/>
        <w:numPr>
          <w:ilvl w:val="0"/>
          <w:numId w:val="3"/>
        </w:numPr>
        <w:spacing w:after="120"/>
        <w:ind w:hanging="288"/>
        <w:rPr>
          <w:rFonts w:cstheme="minorHAnsi"/>
        </w:rPr>
      </w:pPr>
      <w:r>
        <w:rPr>
          <w:rFonts w:cstheme="minorHAnsi"/>
        </w:rPr>
        <w:t>Develop training program</w:t>
      </w:r>
      <w:r w:rsidR="006D7D88">
        <w:rPr>
          <w:rFonts w:cstheme="minorHAnsi"/>
        </w:rPr>
        <w:t xml:space="preserve"> for HVAC staff.</w:t>
      </w:r>
    </w:p>
    <w:p w14:paraId="21454278" w14:textId="4F20661B" w:rsidR="00332090" w:rsidRDefault="00332090" w:rsidP="009310D8">
      <w:pPr>
        <w:pStyle w:val="ListParagraph"/>
        <w:numPr>
          <w:ilvl w:val="0"/>
          <w:numId w:val="3"/>
        </w:numPr>
        <w:spacing w:after="120"/>
        <w:ind w:hanging="288"/>
        <w:rPr>
          <w:rFonts w:cstheme="minorHAnsi"/>
        </w:rPr>
      </w:pPr>
      <w:r>
        <w:rPr>
          <w:rFonts w:cstheme="minorHAnsi"/>
        </w:rPr>
        <w:t>Offer incentives</w:t>
      </w:r>
      <w:r w:rsidR="006E37BE">
        <w:rPr>
          <w:rFonts w:cstheme="minorHAnsi"/>
        </w:rPr>
        <w:t xml:space="preserve"> for training and for sales of qualifying appliances.</w:t>
      </w:r>
    </w:p>
    <w:p w14:paraId="7ED9180A" w14:textId="331EB7D7" w:rsidR="006D7D88" w:rsidRDefault="00094D95" w:rsidP="00094D95">
      <w:pPr>
        <w:spacing w:after="120"/>
        <w:rPr>
          <w:rFonts w:cstheme="minorHAnsi"/>
          <w:color w:val="000000"/>
        </w:rPr>
      </w:pPr>
      <w:r>
        <w:rPr>
          <w:rFonts w:cstheme="minorHAnsi"/>
          <w:b/>
          <w:bCs/>
        </w:rPr>
        <w:lastRenderedPageBreak/>
        <w:t xml:space="preserve">BE Plan Objective </w:t>
      </w:r>
      <w:r w:rsidR="00F0076E">
        <w:rPr>
          <w:rFonts w:cstheme="minorHAnsi"/>
          <w:b/>
          <w:bCs/>
        </w:rPr>
        <w:t>4</w:t>
      </w:r>
      <w:r>
        <w:rPr>
          <w:rFonts w:cstheme="minorHAnsi"/>
          <w:b/>
          <w:bCs/>
        </w:rPr>
        <w:t>.</w:t>
      </w:r>
      <w:r>
        <w:rPr>
          <w:rFonts w:cstheme="minorHAnsi"/>
        </w:rPr>
        <w:t xml:space="preserve"> </w:t>
      </w:r>
      <w:r w:rsidR="00880EEB">
        <w:rPr>
          <w:color w:val="000000"/>
          <w:sz w:val="14"/>
          <w:szCs w:val="14"/>
        </w:rPr>
        <w:t> </w:t>
      </w:r>
      <w:r w:rsidR="00880EEB" w:rsidRPr="00880EEB">
        <w:rPr>
          <w:rFonts w:cstheme="minorHAnsi"/>
          <w:color w:val="000000"/>
        </w:rPr>
        <w:t>Educat</w:t>
      </w:r>
      <w:r w:rsidR="00880EEB">
        <w:rPr>
          <w:rFonts w:cstheme="minorHAnsi"/>
          <w:color w:val="000000"/>
        </w:rPr>
        <w:t>e</w:t>
      </w:r>
      <w:r w:rsidR="00880EEB" w:rsidRPr="00880EEB">
        <w:rPr>
          <w:rFonts w:cstheme="minorHAnsi"/>
          <w:color w:val="000000"/>
        </w:rPr>
        <w:t xml:space="preserve"> consumers on benefits and possible configurations of heat pumps</w:t>
      </w:r>
      <w:r w:rsidR="00647733">
        <w:rPr>
          <w:rFonts w:cstheme="minorHAnsi"/>
          <w:color w:val="000000"/>
        </w:rPr>
        <w:t>,</w:t>
      </w:r>
      <w:r w:rsidR="00880EEB" w:rsidRPr="00880EEB">
        <w:rPr>
          <w:rFonts w:cstheme="minorHAnsi"/>
          <w:color w:val="000000"/>
        </w:rPr>
        <w:t xml:space="preserve"> </w:t>
      </w:r>
      <w:r w:rsidR="00B868AA">
        <w:rPr>
          <w:rFonts w:cstheme="minorHAnsi"/>
          <w:color w:val="000000"/>
        </w:rPr>
        <w:t xml:space="preserve">other </w:t>
      </w:r>
      <w:r w:rsidR="00880EEB" w:rsidRPr="00880EEB">
        <w:rPr>
          <w:rFonts w:cstheme="minorHAnsi"/>
          <w:color w:val="000000"/>
        </w:rPr>
        <w:t>electric appliances.</w:t>
      </w:r>
    </w:p>
    <w:p w14:paraId="57FEBE97" w14:textId="53087E58" w:rsidR="00D97D04" w:rsidRDefault="00673220" w:rsidP="007E42BE">
      <w:pPr>
        <w:pStyle w:val="ListParagraph"/>
        <w:numPr>
          <w:ilvl w:val="0"/>
          <w:numId w:val="4"/>
        </w:numPr>
        <w:spacing w:after="120"/>
        <w:ind w:hanging="288"/>
        <w:rPr>
          <w:rFonts w:cstheme="minorHAnsi"/>
        </w:rPr>
      </w:pPr>
      <w:r>
        <w:rPr>
          <w:rFonts w:cstheme="minorHAnsi"/>
        </w:rPr>
        <w:t>Run webinars on advantages of building electrification</w:t>
      </w:r>
      <w:r w:rsidR="00B94C78">
        <w:rPr>
          <w:rFonts w:cstheme="minorHAnsi"/>
        </w:rPr>
        <w:t>.</w:t>
      </w:r>
    </w:p>
    <w:p w14:paraId="21A78A59" w14:textId="54CD0326" w:rsidR="00B900DA" w:rsidRDefault="00FE43CE" w:rsidP="007E42BE">
      <w:pPr>
        <w:pStyle w:val="ListParagraph"/>
        <w:numPr>
          <w:ilvl w:val="0"/>
          <w:numId w:val="4"/>
        </w:numPr>
        <w:spacing w:after="120"/>
        <w:ind w:hanging="288"/>
        <w:rPr>
          <w:rFonts w:cstheme="minorHAnsi"/>
        </w:rPr>
      </w:pPr>
      <w:r>
        <w:rPr>
          <w:rFonts w:cstheme="minorHAnsi"/>
        </w:rPr>
        <w:t>Develop and launch ad campaign</w:t>
      </w:r>
      <w:r w:rsidR="00D97D04">
        <w:rPr>
          <w:rFonts w:cstheme="minorHAnsi"/>
        </w:rPr>
        <w:t xml:space="preserve"> for electrification.</w:t>
      </w:r>
    </w:p>
    <w:p w14:paraId="08FA393A" w14:textId="60F9B819" w:rsidR="006A05E4" w:rsidRDefault="006A05E4" w:rsidP="007E42BE">
      <w:pPr>
        <w:pStyle w:val="ListParagraph"/>
        <w:numPr>
          <w:ilvl w:val="0"/>
          <w:numId w:val="4"/>
        </w:numPr>
        <w:spacing w:after="120"/>
        <w:ind w:hanging="288"/>
        <w:rPr>
          <w:rFonts w:cstheme="minorHAnsi"/>
        </w:rPr>
      </w:pPr>
      <w:r>
        <w:rPr>
          <w:rFonts w:cstheme="minorHAnsi"/>
        </w:rPr>
        <w:t>Increase incentives for all c</w:t>
      </w:r>
      <w:r w:rsidR="00E47DB3">
        <w:rPr>
          <w:rFonts w:cstheme="minorHAnsi"/>
        </w:rPr>
        <w:t>onsumers</w:t>
      </w:r>
    </w:p>
    <w:p w14:paraId="33C73055" w14:textId="2C9A8FD5" w:rsidR="00E47DB3" w:rsidRDefault="00E47DB3" w:rsidP="007E42BE">
      <w:pPr>
        <w:pStyle w:val="ListParagraph"/>
        <w:numPr>
          <w:ilvl w:val="0"/>
          <w:numId w:val="4"/>
        </w:numPr>
        <w:spacing w:after="120"/>
        <w:ind w:hanging="288"/>
        <w:rPr>
          <w:rFonts w:cstheme="minorHAnsi"/>
        </w:rPr>
      </w:pPr>
      <w:r>
        <w:rPr>
          <w:rFonts w:cstheme="minorHAnsi"/>
        </w:rPr>
        <w:t xml:space="preserve">Focus additional incentives and marketing on </w:t>
      </w:r>
      <w:r w:rsidR="001E5582">
        <w:rPr>
          <w:rFonts w:cstheme="minorHAnsi"/>
        </w:rPr>
        <w:t>Environmental Justice communities.</w:t>
      </w:r>
    </w:p>
    <w:p w14:paraId="2A302095" w14:textId="3E84C2AB" w:rsidR="00E03A8E" w:rsidRDefault="000E01C9" w:rsidP="0071490E">
      <w:pPr>
        <w:spacing w:after="120"/>
        <w:rPr>
          <w:rFonts w:cstheme="minorHAnsi"/>
        </w:rPr>
      </w:pPr>
      <w:r>
        <w:rPr>
          <w:rFonts w:cstheme="minorHAnsi"/>
          <w:b/>
          <w:bCs/>
        </w:rPr>
        <w:t xml:space="preserve">BE Plan Objective </w:t>
      </w:r>
      <w:r w:rsidR="00F0076E">
        <w:rPr>
          <w:rFonts w:cstheme="minorHAnsi"/>
          <w:b/>
          <w:bCs/>
        </w:rPr>
        <w:t>5</w:t>
      </w:r>
      <w:r>
        <w:rPr>
          <w:rFonts w:cstheme="minorHAnsi"/>
          <w:b/>
          <w:bCs/>
        </w:rPr>
        <w:t xml:space="preserve">. </w:t>
      </w:r>
      <w:r>
        <w:rPr>
          <w:rFonts w:cstheme="minorHAnsi"/>
        </w:rPr>
        <w:t>Ramp up Building Energy Efficienc</w:t>
      </w:r>
      <w:r w:rsidR="00D417CF">
        <w:rPr>
          <w:rFonts w:cstheme="minorHAnsi"/>
        </w:rPr>
        <w:t>y program with additional</w:t>
      </w:r>
      <w:r w:rsidR="00B35EF3">
        <w:rPr>
          <w:rFonts w:cstheme="minorHAnsi"/>
        </w:rPr>
        <w:t xml:space="preserve"> incentives and marketing. Divorce it from the </w:t>
      </w:r>
      <w:r w:rsidR="00D77AE4">
        <w:rPr>
          <w:rFonts w:cstheme="minorHAnsi"/>
        </w:rPr>
        <w:t>g</w:t>
      </w:r>
      <w:r w:rsidR="00B35EF3">
        <w:rPr>
          <w:rFonts w:cstheme="minorHAnsi"/>
        </w:rPr>
        <w:t xml:space="preserve">as </w:t>
      </w:r>
      <w:r w:rsidR="00D77AE4">
        <w:rPr>
          <w:rFonts w:cstheme="minorHAnsi"/>
        </w:rPr>
        <w:t>utilities</w:t>
      </w:r>
      <w:r w:rsidR="00F933BB">
        <w:rPr>
          <w:rFonts w:cstheme="minorHAnsi"/>
        </w:rPr>
        <w:t>, so tha</w:t>
      </w:r>
      <w:r w:rsidR="00FD3153">
        <w:rPr>
          <w:rFonts w:cstheme="minorHAnsi"/>
        </w:rPr>
        <w:t>t efficiency upgrades are electric, not gas.</w:t>
      </w:r>
    </w:p>
    <w:p w14:paraId="0447A52D" w14:textId="77777777" w:rsidR="00E11A6D" w:rsidRPr="00F15EB4" w:rsidRDefault="00E11A6D" w:rsidP="00E11A6D">
      <w:pPr>
        <w:tabs>
          <w:tab w:val="num" w:pos="720"/>
        </w:tabs>
        <w:ind w:left="720" w:hanging="360"/>
        <w:jc w:val="center"/>
        <w:rPr>
          <w:b/>
          <w:bCs/>
          <w:sz w:val="28"/>
          <w:szCs w:val="28"/>
        </w:rPr>
      </w:pPr>
      <w:r>
        <w:rPr>
          <w:b/>
          <w:bCs/>
          <w:sz w:val="28"/>
          <w:szCs w:val="28"/>
        </w:rPr>
        <w:t xml:space="preserve">RESIDENTIAL BUILDING ELECTRIFICATION </w:t>
      </w:r>
      <w:r w:rsidRPr="00F15EB4">
        <w:rPr>
          <w:b/>
          <w:bCs/>
          <w:sz w:val="28"/>
          <w:szCs w:val="28"/>
        </w:rPr>
        <w:t>TECHNICAL OVERVIEW</w:t>
      </w:r>
      <w:r>
        <w:rPr>
          <w:b/>
          <w:bCs/>
          <w:sz w:val="28"/>
          <w:szCs w:val="28"/>
        </w:rPr>
        <w:t xml:space="preserve">  </w:t>
      </w:r>
    </w:p>
    <w:p w14:paraId="4B9851D0" w14:textId="77777777" w:rsidR="00E11A6D" w:rsidRPr="002C5257" w:rsidRDefault="00E11A6D" w:rsidP="00E11A6D">
      <w:pPr>
        <w:pStyle w:val="ListParagraph"/>
        <w:numPr>
          <w:ilvl w:val="0"/>
          <w:numId w:val="8"/>
        </w:numPr>
        <w:spacing w:after="0" w:line="240" w:lineRule="auto"/>
        <w:rPr>
          <w:rFonts w:cstheme="minorHAnsi"/>
          <w:color w:val="000000"/>
          <w:sz w:val="10"/>
          <w:szCs w:val="18"/>
        </w:rPr>
      </w:pPr>
      <w:r w:rsidRPr="002C5257">
        <w:rPr>
          <w:rFonts w:eastAsia="DejaVu Sans" w:cstheme="minorHAnsi"/>
          <w:color w:val="000000"/>
          <w:kern w:val="24"/>
        </w:rPr>
        <w:t>Residential/Commercial Heating accounts for annual 25.4 MMT GHG (25% of NJ GHG) (MMT = Million Metric Tons;  GHG = Greenhouse Gas)</w:t>
      </w:r>
    </w:p>
    <w:p w14:paraId="2D8787AF" w14:textId="77777777" w:rsidR="00E11A6D" w:rsidRPr="002C5257" w:rsidRDefault="00E11A6D" w:rsidP="00E11A6D">
      <w:pPr>
        <w:pStyle w:val="ListParagraph"/>
        <w:numPr>
          <w:ilvl w:val="0"/>
          <w:numId w:val="8"/>
        </w:numPr>
        <w:spacing w:after="0" w:line="240" w:lineRule="auto"/>
        <w:rPr>
          <w:rFonts w:cstheme="minorHAnsi"/>
          <w:color w:val="000000"/>
          <w:sz w:val="10"/>
          <w:szCs w:val="18"/>
        </w:rPr>
      </w:pPr>
      <w:r w:rsidRPr="002C5257">
        <w:rPr>
          <w:rFonts w:eastAsia="DejaVu Sans" w:cstheme="minorHAnsi"/>
          <w:color w:val="000000"/>
          <w:kern w:val="24"/>
        </w:rPr>
        <w:t xml:space="preserve">80% of NJ GHG derive from the 3 Smokestacks of GHG emissions in NJ:  Electricity, Transportation and Residential/Commercial Heating </w:t>
      </w:r>
    </w:p>
    <w:p w14:paraId="436D065D" w14:textId="77777777" w:rsidR="00E11A6D" w:rsidRPr="002C5257" w:rsidRDefault="00E11A6D" w:rsidP="00E11A6D">
      <w:pPr>
        <w:pStyle w:val="ListParagraph"/>
        <w:numPr>
          <w:ilvl w:val="0"/>
          <w:numId w:val="8"/>
        </w:numPr>
        <w:spacing w:after="0" w:line="240" w:lineRule="auto"/>
        <w:rPr>
          <w:rFonts w:cstheme="minorHAnsi"/>
          <w:color w:val="000000"/>
          <w:sz w:val="10"/>
          <w:szCs w:val="18"/>
        </w:rPr>
      </w:pPr>
      <w:r w:rsidRPr="002C5257">
        <w:rPr>
          <w:rFonts w:eastAsia="DejaVu Sans" w:cstheme="minorHAnsi"/>
          <w:color w:val="000000"/>
          <w:kern w:val="24"/>
        </w:rPr>
        <w:t>GOAL: 100% emission free by 2050 to avoid the worst consequences of global warming.</w:t>
      </w:r>
    </w:p>
    <w:p w14:paraId="4899E3B1" w14:textId="77777777" w:rsidR="00E11A6D" w:rsidRPr="002C5257" w:rsidRDefault="00E11A6D" w:rsidP="00E11A6D">
      <w:pPr>
        <w:pStyle w:val="ListParagraph"/>
        <w:numPr>
          <w:ilvl w:val="0"/>
          <w:numId w:val="8"/>
        </w:numPr>
        <w:spacing w:after="0" w:line="240" w:lineRule="auto"/>
        <w:rPr>
          <w:rFonts w:cstheme="minorHAnsi"/>
          <w:color w:val="000000"/>
          <w:sz w:val="10"/>
          <w:szCs w:val="18"/>
        </w:rPr>
      </w:pPr>
      <w:r w:rsidRPr="002C5257">
        <w:rPr>
          <w:rFonts w:eastAsia="DejaVu Sans" w:cstheme="minorHAnsi"/>
          <w:color w:val="000000"/>
          <w:kern w:val="24"/>
        </w:rPr>
        <w:t>GOAL: 50% NJ GHG reduction by 2030 (Gov. Murphy E.O. #274, 11/10/2021)</w:t>
      </w:r>
    </w:p>
    <w:p w14:paraId="52C0E932" w14:textId="77777777" w:rsidR="00E11A6D" w:rsidRPr="00F9745C" w:rsidRDefault="00E11A6D" w:rsidP="00E11A6D">
      <w:pPr>
        <w:pStyle w:val="ListParagraph"/>
        <w:numPr>
          <w:ilvl w:val="0"/>
          <w:numId w:val="8"/>
        </w:numPr>
        <w:spacing w:after="0" w:line="240" w:lineRule="auto"/>
        <w:rPr>
          <w:color w:val="000000"/>
          <w:sz w:val="10"/>
          <w:szCs w:val="18"/>
        </w:rPr>
      </w:pPr>
      <w:r w:rsidRPr="002C5257">
        <w:rPr>
          <w:rFonts w:eastAsia="DejaVu Sans" w:cstheme="minorHAnsi"/>
          <w:color w:val="000000"/>
          <w:kern w:val="24"/>
        </w:rPr>
        <w:t>→</w:t>
      </w:r>
      <w:r w:rsidRPr="002C5257">
        <w:rPr>
          <w:rFonts w:eastAsia="DejaVu Sans" w:cstheme="minorHAnsi"/>
          <w:color w:val="000000"/>
          <w:kern w:val="24"/>
          <w:u w:val="single"/>
        </w:rPr>
        <w:t xml:space="preserve"> </w:t>
      </w:r>
      <w:r w:rsidRPr="002C5257">
        <w:rPr>
          <w:rFonts w:eastAsia="DejaVu Sans" w:cstheme="minorHAnsi"/>
          <w:color w:val="000000"/>
          <w:kern w:val="24"/>
        </w:rPr>
        <w:t>Starting now, need Building Electrification to replace fossil fuel heating!</w:t>
      </w:r>
      <w:r w:rsidRPr="002C5257">
        <w:rPr>
          <w:rFonts w:eastAsia="DejaVu Sans" w:cstheme="minorHAnsi"/>
          <w:color w:val="000000"/>
          <w:kern w:val="24"/>
          <w:u w:val="single"/>
        </w:rPr>
        <w:br/>
      </w:r>
    </w:p>
    <w:p w14:paraId="4DBF1295" w14:textId="77777777" w:rsidR="00E11A6D" w:rsidRPr="00B726D6" w:rsidRDefault="00E11A6D" w:rsidP="00E11A6D">
      <w:pPr>
        <w:pStyle w:val="ListParagraph"/>
        <w:numPr>
          <w:ilvl w:val="0"/>
          <w:numId w:val="8"/>
        </w:numPr>
        <w:spacing w:after="0" w:line="240" w:lineRule="auto"/>
        <w:rPr>
          <w:color w:val="000000"/>
          <w:sz w:val="10"/>
          <w:szCs w:val="18"/>
        </w:rPr>
      </w:pPr>
      <w:r w:rsidRPr="008004CF">
        <w:rPr>
          <w:rFonts w:ascii="Arial" w:eastAsia="DejaVu Sans" w:hAnsi="Arial" w:cs="DejaVu Sans"/>
          <w:color w:val="000000"/>
          <w:kern w:val="24"/>
          <w:sz w:val="18"/>
          <w:szCs w:val="18"/>
          <w:u w:val="single"/>
        </w:rPr>
        <w:t>SOURCE</w:t>
      </w:r>
      <w:r>
        <w:rPr>
          <w:rFonts w:ascii="Arial" w:eastAsia="DejaVu Sans" w:hAnsi="Arial" w:cs="DejaVu Sans"/>
          <w:color w:val="000000"/>
          <w:kern w:val="24"/>
          <w:sz w:val="18"/>
          <w:szCs w:val="18"/>
          <w:u w:val="single"/>
        </w:rPr>
        <w:t xml:space="preserve"> of following: </w:t>
      </w:r>
      <w:r w:rsidRPr="008004CF">
        <w:rPr>
          <w:rFonts w:ascii="Arial" w:eastAsia="DejaVu Sans" w:hAnsi="Arial" w:cs="DejaVu Sans"/>
          <w:color w:val="000000"/>
          <w:kern w:val="24"/>
          <w:sz w:val="20"/>
          <w:szCs w:val="20"/>
          <w:u w:val="single"/>
        </w:rPr>
        <w:t xml:space="preserve"> </w:t>
      </w:r>
      <w:hyperlink r:id="rId12" w:history="1">
        <w:r w:rsidRPr="002736AB">
          <w:rPr>
            <w:rStyle w:val="Hyperlink"/>
            <w:rFonts w:ascii="Arial" w:eastAsia="DejaVu Sans" w:hAnsi="Arial" w:cs="DejaVu Sans"/>
            <w:kern w:val="24"/>
            <w:sz w:val="18"/>
            <w:szCs w:val="18"/>
          </w:rPr>
          <w:t>https://www.nj.gov/dep/aqes/ghgarchive/MCU%20GHG%20Inventory_2021.pdf</w:t>
        </w:r>
      </w:hyperlink>
      <w:r>
        <w:rPr>
          <w:rFonts w:ascii="Arial" w:eastAsia="DejaVu Sans" w:hAnsi="Arial" w:cs="DejaVu Sans"/>
          <w:color w:val="000000"/>
          <w:kern w:val="24"/>
          <w:sz w:val="18"/>
          <w:szCs w:val="18"/>
          <w:u w:val="single"/>
        </w:rPr>
        <w:t xml:space="preserve"> </w:t>
      </w:r>
    </w:p>
    <w:p w14:paraId="624B37E1" w14:textId="533E36B7" w:rsidR="000C28E4" w:rsidRDefault="00E11A6D" w:rsidP="00E11A6D">
      <w:pPr>
        <w:pStyle w:val="ListParagraph"/>
        <w:rPr>
          <w:rFonts w:cstheme="minorHAnsi"/>
        </w:rPr>
      </w:pPr>
      <w:r>
        <w:rPr>
          <w:noProof/>
        </w:rPr>
        <w:t xml:space="preserve"> </w:t>
      </w:r>
      <w:r w:rsidRPr="00EC12C2">
        <w:rPr>
          <w:noProof/>
          <w:color w:val="000000"/>
          <w:szCs w:val="36"/>
        </w:rPr>
        <w:drawing>
          <wp:inline distT="0" distB="0" distL="0" distR="0" wp14:anchorId="5A3E2F04" wp14:editId="2DABC3B2">
            <wp:extent cx="5638422" cy="4525356"/>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658133" cy="4541176"/>
                    </a:xfrm>
                    <a:prstGeom prst="rect">
                      <a:avLst/>
                    </a:prstGeom>
                  </pic:spPr>
                </pic:pic>
              </a:graphicData>
            </a:graphic>
          </wp:inline>
        </w:drawing>
      </w:r>
      <w:r w:rsidR="000C28E4">
        <w:rPr>
          <w:rFonts w:cstheme="minorHAnsi"/>
        </w:rPr>
        <w:br w:type="page"/>
      </w:r>
    </w:p>
    <w:p w14:paraId="18B97548" w14:textId="77777777" w:rsidR="000C28E4" w:rsidRPr="007A587A" w:rsidRDefault="000C28E4" w:rsidP="005F39FB">
      <w:pPr>
        <w:pStyle w:val="ListParagraph"/>
        <w:rPr>
          <w:color w:val="000000"/>
          <w:sz w:val="16"/>
        </w:rPr>
      </w:pPr>
    </w:p>
    <w:p w14:paraId="1DD509A6" w14:textId="39356353" w:rsidR="000C28E4" w:rsidRPr="008F2FD6" w:rsidRDefault="00BB457C" w:rsidP="008F2FD6">
      <w:pPr>
        <w:spacing w:after="0" w:line="240" w:lineRule="auto"/>
        <w:ind w:left="288"/>
        <w:jc w:val="center"/>
        <w:rPr>
          <w:color w:val="000000"/>
          <w:szCs w:val="36"/>
        </w:rPr>
      </w:pPr>
      <w:r>
        <w:rPr>
          <w:b/>
          <w:bCs/>
          <w:color w:val="000000"/>
          <w:sz w:val="32"/>
          <w:szCs w:val="48"/>
        </w:rPr>
        <w:t>RESIDENTIAL BUILIDNG ELECTRIFICATION ACTION ITEMS</w:t>
      </w:r>
      <w:r w:rsidR="000C28E4">
        <w:rPr>
          <w:color w:val="000000"/>
          <w:szCs w:val="36"/>
        </w:rPr>
        <w:br/>
      </w:r>
      <w:r w:rsidR="000C28E4" w:rsidRPr="002C5257">
        <w:rPr>
          <w:rFonts w:eastAsia="Times New Roman" w:cstheme="minorHAnsi"/>
          <w:color w:val="000000"/>
          <w:szCs w:val="36"/>
        </w:rPr>
        <w:t xml:space="preserve">(Additional experts- TBD- may be needed to provide NJ </w:t>
      </w:r>
      <w:r w:rsidR="00E11A6D">
        <w:rPr>
          <w:rFonts w:eastAsia="Times New Roman" w:cstheme="minorHAnsi"/>
          <w:color w:val="000000"/>
          <w:szCs w:val="36"/>
        </w:rPr>
        <w:t>Action Items</w:t>
      </w:r>
      <w:r w:rsidR="000C28E4" w:rsidRPr="002C5257">
        <w:rPr>
          <w:rFonts w:eastAsia="Times New Roman" w:cstheme="minorHAnsi"/>
          <w:color w:val="000000"/>
          <w:szCs w:val="36"/>
        </w:rPr>
        <w:t xml:space="preserve"> for Commercial Buildings)</w:t>
      </w:r>
      <w:r w:rsidR="000C28E4" w:rsidRPr="002C5257">
        <w:rPr>
          <w:rFonts w:cstheme="minorHAnsi"/>
          <w:color w:val="000000"/>
          <w:szCs w:val="36"/>
        </w:rPr>
        <w:br/>
      </w:r>
    </w:p>
    <w:p w14:paraId="10DFEB84" w14:textId="77777777" w:rsidR="000C28E4" w:rsidRDefault="000C28E4" w:rsidP="000C28E4">
      <w:pPr>
        <w:pStyle w:val="ListParagraph"/>
        <w:numPr>
          <w:ilvl w:val="0"/>
          <w:numId w:val="9"/>
        </w:numPr>
        <w:spacing w:after="0" w:line="240" w:lineRule="auto"/>
        <w:ind w:left="0"/>
        <w:rPr>
          <w:color w:val="000000"/>
          <w:szCs w:val="36"/>
        </w:rPr>
      </w:pPr>
      <w:r>
        <w:rPr>
          <w:color w:val="000000"/>
          <w:szCs w:val="36"/>
        </w:rPr>
        <w:t>First, ramp-up e</w:t>
      </w:r>
      <w:r w:rsidRPr="00EC12C2">
        <w:rPr>
          <w:color w:val="000000"/>
          <w:szCs w:val="36"/>
        </w:rPr>
        <w:t xml:space="preserve">nergy efficiency measures </w:t>
      </w:r>
      <w:r>
        <w:rPr>
          <w:color w:val="000000"/>
          <w:szCs w:val="36"/>
        </w:rPr>
        <w:t xml:space="preserve">to </w:t>
      </w:r>
      <w:r w:rsidRPr="00EC12C2">
        <w:rPr>
          <w:color w:val="000000"/>
          <w:szCs w:val="36"/>
        </w:rPr>
        <w:t xml:space="preserve">reduce fuel usage/emissions </w:t>
      </w:r>
    </w:p>
    <w:p w14:paraId="795AE1FE" w14:textId="77777777" w:rsidR="000C28E4" w:rsidRDefault="000C28E4" w:rsidP="000C28E4">
      <w:pPr>
        <w:pStyle w:val="ListParagraph"/>
        <w:numPr>
          <w:ilvl w:val="2"/>
          <w:numId w:val="9"/>
        </w:numPr>
        <w:spacing w:after="0" w:line="240" w:lineRule="auto"/>
        <w:rPr>
          <w:color w:val="000000"/>
          <w:szCs w:val="36"/>
        </w:rPr>
      </w:pPr>
      <w:r>
        <w:rPr>
          <w:color w:val="000000"/>
          <w:szCs w:val="36"/>
        </w:rPr>
        <w:t>lowers operating cost</w:t>
      </w:r>
    </w:p>
    <w:p w14:paraId="2E9CD292" w14:textId="77777777" w:rsidR="000C28E4" w:rsidRDefault="000C28E4" w:rsidP="000C28E4">
      <w:pPr>
        <w:pStyle w:val="ListParagraph"/>
        <w:numPr>
          <w:ilvl w:val="2"/>
          <w:numId w:val="9"/>
        </w:numPr>
        <w:spacing w:after="0" w:line="240" w:lineRule="auto"/>
        <w:rPr>
          <w:color w:val="000000"/>
          <w:szCs w:val="36"/>
        </w:rPr>
      </w:pPr>
      <w:r w:rsidRPr="005F39FB">
        <w:rPr>
          <w:color w:val="000000"/>
          <w:szCs w:val="36"/>
        </w:rPr>
        <w:t>lower cost of building electrification conversion</w:t>
      </w:r>
    </w:p>
    <w:p w14:paraId="51470A46" w14:textId="77777777" w:rsidR="000C28E4" w:rsidRDefault="000C28E4" w:rsidP="000C28E4">
      <w:pPr>
        <w:pStyle w:val="ListParagraph"/>
        <w:numPr>
          <w:ilvl w:val="2"/>
          <w:numId w:val="9"/>
        </w:numPr>
        <w:spacing w:after="0" w:line="240" w:lineRule="auto"/>
        <w:rPr>
          <w:color w:val="000000"/>
          <w:szCs w:val="36"/>
        </w:rPr>
      </w:pPr>
      <w:r w:rsidRPr="005F39FB">
        <w:rPr>
          <w:color w:val="000000"/>
          <w:szCs w:val="36"/>
        </w:rPr>
        <w:t xml:space="preserve">reduces future electric load on grid </w:t>
      </w:r>
    </w:p>
    <w:p w14:paraId="2D61F41A" w14:textId="77777777" w:rsidR="000C28E4" w:rsidRPr="005F39FB" w:rsidRDefault="000C28E4" w:rsidP="002C5257">
      <w:pPr>
        <w:pStyle w:val="ListParagraph"/>
        <w:numPr>
          <w:ilvl w:val="0"/>
          <w:numId w:val="9"/>
        </w:numPr>
        <w:spacing w:after="0" w:line="240" w:lineRule="auto"/>
        <w:ind w:hanging="720"/>
        <w:rPr>
          <w:color w:val="000000"/>
          <w:szCs w:val="36"/>
        </w:rPr>
      </w:pPr>
      <w:r w:rsidRPr="005F39FB">
        <w:rPr>
          <w:color w:val="000000"/>
          <w:szCs w:val="36"/>
        </w:rPr>
        <w:t>GOAL:  900,000 fully electrified NJ residential units by 2030 (25% of residential stock)</w:t>
      </w:r>
      <w:r>
        <w:rPr>
          <w:color w:val="000000"/>
          <w:szCs w:val="36"/>
        </w:rPr>
        <w:br/>
        <w:t xml:space="preserve">          We must provide detail of how to reach 900,000 goal.</w:t>
      </w:r>
    </w:p>
    <w:p w14:paraId="21DE46AA" w14:textId="77777777" w:rsidR="000C28E4" w:rsidRDefault="000C28E4" w:rsidP="002C5257">
      <w:pPr>
        <w:pStyle w:val="ListParagraph"/>
        <w:numPr>
          <w:ilvl w:val="0"/>
          <w:numId w:val="9"/>
        </w:numPr>
        <w:spacing w:after="0" w:line="240" w:lineRule="auto"/>
        <w:ind w:hanging="720"/>
        <w:rPr>
          <w:color w:val="000000"/>
          <w:szCs w:val="36"/>
        </w:rPr>
      </w:pPr>
      <w:r w:rsidRPr="00EC12C2">
        <w:rPr>
          <w:color w:val="000000"/>
          <w:szCs w:val="36"/>
        </w:rPr>
        <w:t xml:space="preserve">Building Electrification </w:t>
      </w:r>
      <w:r>
        <w:rPr>
          <w:color w:val="000000"/>
          <w:szCs w:val="36"/>
        </w:rPr>
        <w:t>will</w:t>
      </w:r>
      <w:r w:rsidRPr="00EC12C2">
        <w:rPr>
          <w:color w:val="000000"/>
          <w:szCs w:val="36"/>
        </w:rPr>
        <w:t xml:space="preserve"> reduce, to zero, NJ 25% Residential/Commercial Heating GHG emissions, when coupled with a source of 100% clean electricity.</w:t>
      </w:r>
    </w:p>
    <w:p w14:paraId="6749AA97" w14:textId="77777777" w:rsidR="000C28E4" w:rsidRPr="001D1D86" w:rsidRDefault="000C28E4" w:rsidP="002C5257">
      <w:pPr>
        <w:pStyle w:val="ListParagraph"/>
        <w:numPr>
          <w:ilvl w:val="0"/>
          <w:numId w:val="9"/>
        </w:numPr>
        <w:spacing w:after="0" w:line="240" w:lineRule="auto"/>
        <w:ind w:hanging="720"/>
        <w:rPr>
          <w:color w:val="000000"/>
          <w:szCs w:val="36"/>
        </w:rPr>
      </w:pPr>
      <w:r w:rsidRPr="001D1D86">
        <w:rPr>
          <w:color w:val="000000"/>
          <w:szCs w:val="36"/>
        </w:rPr>
        <w:t>Explain need for 100% clean electric to support Building Electrification</w:t>
      </w:r>
    </w:p>
    <w:p w14:paraId="102263F6" w14:textId="77777777" w:rsidR="000C28E4" w:rsidRPr="00EC12C2" w:rsidRDefault="000C28E4" w:rsidP="002C5257">
      <w:pPr>
        <w:pStyle w:val="ListParagraph"/>
        <w:numPr>
          <w:ilvl w:val="0"/>
          <w:numId w:val="9"/>
        </w:numPr>
        <w:spacing w:after="0" w:line="240" w:lineRule="auto"/>
        <w:ind w:hanging="720"/>
        <w:rPr>
          <w:color w:val="000000"/>
          <w:szCs w:val="36"/>
        </w:rPr>
      </w:pPr>
      <w:r w:rsidRPr="00F64223">
        <w:rPr>
          <w:color w:val="000000"/>
          <w:szCs w:val="36"/>
        </w:rPr>
        <w:t xml:space="preserve">Provide incentives to </w:t>
      </w:r>
      <w:r>
        <w:rPr>
          <w:color w:val="000000"/>
          <w:szCs w:val="36"/>
        </w:rPr>
        <w:t xml:space="preserve">increase the residence electric service capacity, if required to </w:t>
      </w:r>
      <w:r w:rsidRPr="00F64223">
        <w:rPr>
          <w:color w:val="000000"/>
          <w:szCs w:val="36"/>
        </w:rPr>
        <w:t xml:space="preserve">support </w:t>
      </w:r>
      <w:r>
        <w:rPr>
          <w:color w:val="000000"/>
          <w:szCs w:val="36"/>
        </w:rPr>
        <w:t xml:space="preserve">future </w:t>
      </w:r>
      <w:r w:rsidRPr="00F64223">
        <w:rPr>
          <w:color w:val="000000"/>
          <w:szCs w:val="36"/>
        </w:rPr>
        <w:t>electric appliances and Electric Vehicles</w:t>
      </w:r>
      <w:r w:rsidRPr="00EC12C2">
        <w:rPr>
          <w:color w:val="000000"/>
          <w:szCs w:val="36"/>
        </w:rPr>
        <w:t xml:space="preserve"> </w:t>
      </w:r>
    </w:p>
    <w:p w14:paraId="12618692" w14:textId="4D411C0E" w:rsidR="000C28E4" w:rsidRPr="00EC12C2" w:rsidRDefault="000C28E4" w:rsidP="002C5257">
      <w:pPr>
        <w:pStyle w:val="ListParagraph"/>
        <w:numPr>
          <w:ilvl w:val="0"/>
          <w:numId w:val="9"/>
        </w:numPr>
        <w:spacing w:after="0" w:line="240" w:lineRule="auto"/>
        <w:ind w:hanging="720"/>
        <w:rPr>
          <w:color w:val="000000"/>
          <w:szCs w:val="36"/>
        </w:rPr>
      </w:pPr>
      <w:r>
        <w:rPr>
          <w:color w:val="000000"/>
          <w:szCs w:val="36"/>
        </w:rPr>
        <w:t xml:space="preserve">When EPA “Energy Star Cold Climate” is available in 2023 or later, use </w:t>
      </w:r>
      <w:r w:rsidRPr="00EC12C2">
        <w:rPr>
          <w:color w:val="000000"/>
          <w:szCs w:val="36"/>
        </w:rPr>
        <w:t xml:space="preserve">“Cold </w:t>
      </w:r>
      <w:r w:rsidR="008F3CF5" w:rsidRPr="00EC12C2">
        <w:rPr>
          <w:color w:val="000000"/>
          <w:szCs w:val="36"/>
        </w:rPr>
        <w:t>Climate” electric</w:t>
      </w:r>
      <w:r w:rsidRPr="00EC12C2">
        <w:rPr>
          <w:color w:val="000000"/>
          <w:szCs w:val="36"/>
        </w:rPr>
        <w:t xml:space="preserve"> air source heat pumps (or use geothermal heat pumps where applicable)</w:t>
      </w:r>
      <w:r>
        <w:rPr>
          <w:color w:val="000000"/>
          <w:szCs w:val="36"/>
        </w:rPr>
        <w:t xml:space="preserve"> which </w:t>
      </w:r>
      <w:r w:rsidRPr="00EC12C2">
        <w:rPr>
          <w:color w:val="000000"/>
          <w:szCs w:val="36"/>
        </w:rPr>
        <w:t>replac</w:t>
      </w:r>
      <w:r>
        <w:rPr>
          <w:color w:val="000000"/>
          <w:szCs w:val="36"/>
        </w:rPr>
        <w:t>e</w:t>
      </w:r>
      <w:r w:rsidRPr="00EC12C2">
        <w:rPr>
          <w:color w:val="000000"/>
          <w:szCs w:val="36"/>
        </w:rPr>
        <w:t xml:space="preserve"> polluting natural gas, oil</w:t>
      </w:r>
      <w:r>
        <w:rPr>
          <w:color w:val="000000"/>
          <w:szCs w:val="36"/>
        </w:rPr>
        <w:t>,</w:t>
      </w:r>
      <w:r w:rsidRPr="00EC12C2">
        <w:rPr>
          <w:color w:val="000000"/>
          <w:szCs w:val="36"/>
        </w:rPr>
        <w:t xml:space="preserve"> propane heat</w:t>
      </w:r>
      <w:r>
        <w:rPr>
          <w:color w:val="000000"/>
          <w:szCs w:val="36"/>
        </w:rPr>
        <w:t>, and electric resistance heat (e.g. baseboard electric heat</w:t>
      </w:r>
      <w:r w:rsidR="00C94ECA">
        <w:rPr>
          <w:color w:val="000000"/>
          <w:szCs w:val="36"/>
        </w:rPr>
        <w:t>)</w:t>
      </w:r>
      <w:r w:rsidR="00C94ECA" w:rsidRPr="00EC12C2">
        <w:rPr>
          <w:color w:val="000000"/>
          <w:szCs w:val="36"/>
        </w:rPr>
        <w:t>.</w:t>
      </w:r>
      <w:r>
        <w:rPr>
          <w:color w:val="000000"/>
          <w:szCs w:val="36"/>
        </w:rPr>
        <w:t xml:space="preserve">  While waiting for EPA to finalize the Energy Star Cold Climate label, reference </w:t>
      </w:r>
      <w:r w:rsidR="008F3CF5">
        <w:rPr>
          <w:color w:val="000000"/>
          <w:szCs w:val="36"/>
        </w:rPr>
        <w:t>heat pumps</w:t>
      </w:r>
      <w:r>
        <w:rPr>
          <w:color w:val="000000"/>
          <w:szCs w:val="36"/>
        </w:rPr>
        <w:t xml:space="preserve"> tested at 5 degrees, and identified on “NEEP’s Cold Climate Air Source Heat Pump List” </w:t>
      </w:r>
      <w:hyperlink r:id="rId14" w:history="1">
        <w:r w:rsidRPr="00E26151">
          <w:rPr>
            <w:rStyle w:val="Hyperlink"/>
            <w:sz w:val="20"/>
            <w:szCs w:val="28"/>
          </w:rPr>
          <w:t>https://ashp.neep.org/#!/</w:t>
        </w:r>
      </w:hyperlink>
      <w:r>
        <w:rPr>
          <w:color w:val="000000"/>
          <w:szCs w:val="36"/>
        </w:rPr>
        <w:t xml:space="preserve"> </w:t>
      </w:r>
      <w:r w:rsidR="00C94ECA">
        <w:rPr>
          <w:color w:val="000000"/>
          <w:szCs w:val="36"/>
        </w:rPr>
        <w:t xml:space="preserve"> .</w:t>
      </w:r>
    </w:p>
    <w:p w14:paraId="42745D57" w14:textId="77777777" w:rsidR="000C28E4" w:rsidRPr="008C5E71" w:rsidRDefault="000C28E4" w:rsidP="002C5257">
      <w:pPr>
        <w:pStyle w:val="ListParagraph"/>
        <w:numPr>
          <w:ilvl w:val="0"/>
          <w:numId w:val="9"/>
        </w:numPr>
        <w:spacing w:after="0" w:line="240" w:lineRule="auto"/>
        <w:ind w:hanging="720"/>
        <w:rPr>
          <w:color w:val="000000"/>
          <w:szCs w:val="36"/>
        </w:rPr>
      </w:pPr>
      <w:r w:rsidRPr="00EC12C2">
        <w:rPr>
          <w:color w:val="000000"/>
          <w:szCs w:val="36"/>
        </w:rPr>
        <w:t>Replacement</w:t>
      </w:r>
      <w:r>
        <w:rPr>
          <w:color w:val="000000"/>
          <w:szCs w:val="36"/>
        </w:rPr>
        <w:t xml:space="preserve"> </w:t>
      </w:r>
      <w:r w:rsidRPr="00EC12C2">
        <w:rPr>
          <w:color w:val="000000"/>
          <w:szCs w:val="36"/>
        </w:rPr>
        <w:t>for existing central A/C, and new construction (no new gas furnaces)</w:t>
      </w:r>
      <w:r>
        <w:rPr>
          <w:color w:val="000000"/>
          <w:szCs w:val="36"/>
        </w:rPr>
        <w:t xml:space="preserve"> with </w:t>
      </w:r>
      <w:r w:rsidRPr="00EC12C2">
        <w:rPr>
          <w:color w:val="000000"/>
          <w:szCs w:val="36"/>
        </w:rPr>
        <w:t>“Cold Climate” Heat Pumps, or “Cold Climate” Mini-Splits where appropriate</w:t>
      </w:r>
      <w:r>
        <w:rPr>
          <w:color w:val="000000"/>
          <w:szCs w:val="36"/>
        </w:rPr>
        <w:t xml:space="preserve">.  (See above discussion about using EPA “Energy Star Cold Climate Heat Pump”)  </w:t>
      </w:r>
    </w:p>
    <w:p w14:paraId="052DA555" w14:textId="237656BA" w:rsidR="000C28E4" w:rsidRPr="00F64223" w:rsidRDefault="000C28E4" w:rsidP="002C5257">
      <w:pPr>
        <w:pStyle w:val="ListParagraph"/>
        <w:numPr>
          <w:ilvl w:val="0"/>
          <w:numId w:val="9"/>
        </w:numPr>
        <w:spacing w:after="0" w:line="240" w:lineRule="auto"/>
        <w:ind w:hanging="720"/>
        <w:rPr>
          <w:color w:val="000000"/>
          <w:szCs w:val="36"/>
        </w:rPr>
      </w:pPr>
      <w:r w:rsidRPr="00F64223">
        <w:rPr>
          <w:color w:val="000000"/>
          <w:szCs w:val="36"/>
        </w:rPr>
        <w:t xml:space="preserve">Provide substantial incentives for </w:t>
      </w:r>
      <w:r w:rsidR="002C5257" w:rsidRPr="00F64223">
        <w:rPr>
          <w:color w:val="000000"/>
          <w:szCs w:val="36"/>
        </w:rPr>
        <w:t>electric “</w:t>
      </w:r>
      <w:r w:rsidRPr="00F64223">
        <w:rPr>
          <w:color w:val="000000"/>
          <w:szCs w:val="36"/>
        </w:rPr>
        <w:t>cold climate” heat pumps to replace existing fossil fuel space heating &amp; AC, and electric resistance heating (</w:t>
      </w:r>
      <w:r w:rsidR="008F3CF5">
        <w:rPr>
          <w:color w:val="000000"/>
          <w:szCs w:val="36"/>
        </w:rPr>
        <w:t>e.g</w:t>
      </w:r>
      <w:r w:rsidR="002C5257" w:rsidRPr="00F64223">
        <w:rPr>
          <w:color w:val="000000"/>
          <w:szCs w:val="36"/>
        </w:rPr>
        <w:t>.,</w:t>
      </w:r>
      <w:r w:rsidRPr="00F64223">
        <w:rPr>
          <w:color w:val="000000"/>
          <w:szCs w:val="36"/>
        </w:rPr>
        <w:t xml:space="preserve"> “baseboard electric”) *.  </w:t>
      </w:r>
    </w:p>
    <w:p w14:paraId="432C4F5F" w14:textId="196365B8" w:rsidR="000C28E4" w:rsidRPr="00F64223" w:rsidRDefault="000C28E4" w:rsidP="002C5257">
      <w:pPr>
        <w:pStyle w:val="ListParagraph"/>
        <w:numPr>
          <w:ilvl w:val="0"/>
          <w:numId w:val="9"/>
        </w:numPr>
        <w:spacing w:after="0" w:line="240" w:lineRule="auto"/>
        <w:ind w:hanging="720"/>
        <w:rPr>
          <w:color w:val="000000"/>
          <w:szCs w:val="36"/>
        </w:rPr>
      </w:pPr>
      <w:r w:rsidRPr="00F64223">
        <w:rPr>
          <w:color w:val="000000"/>
          <w:szCs w:val="36"/>
        </w:rPr>
        <w:t xml:space="preserve">Expand incentives for electric appliances, </w:t>
      </w:r>
      <w:r w:rsidR="002C5257" w:rsidRPr="00F64223">
        <w:rPr>
          <w:color w:val="000000"/>
          <w:szCs w:val="36"/>
        </w:rPr>
        <w:t>e.g.,</w:t>
      </w:r>
      <w:r w:rsidRPr="00F64223">
        <w:rPr>
          <w:color w:val="000000"/>
          <w:szCs w:val="36"/>
        </w:rPr>
        <w:t xml:space="preserve"> stoves, heat pump water heaters and heat pump dryers.  </w:t>
      </w:r>
    </w:p>
    <w:p w14:paraId="15EDD0C6" w14:textId="77777777" w:rsidR="000C28E4" w:rsidRPr="00F64223" w:rsidRDefault="000C28E4" w:rsidP="002C5257">
      <w:pPr>
        <w:pStyle w:val="ListParagraph"/>
        <w:numPr>
          <w:ilvl w:val="0"/>
          <w:numId w:val="9"/>
        </w:numPr>
        <w:spacing w:after="0" w:line="240" w:lineRule="auto"/>
        <w:ind w:hanging="720"/>
        <w:rPr>
          <w:color w:val="000000"/>
          <w:szCs w:val="36"/>
        </w:rPr>
      </w:pPr>
      <w:r w:rsidRPr="00F64223">
        <w:rPr>
          <w:color w:val="000000"/>
          <w:szCs w:val="36"/>
        </w:rPr>
        <w:t xml:space="preserve">Stop all conversions of electric, oil or propane to natural gas.  </w:t>
      </w:r>
    </w:p>
    <w:p w14:paraId="5F6EE690" w14:textId="77777777" w:rsidR="000C28E4" w:rsidRPr="003354A1" w:rsidRDefault="000C28E4" w:rsidP="002C5257">
      <w:pPr>
        <w:pStyle w:val="ListParagraph"/>
        <w:numPr>
          <w:ilvl w:val="0"/>
          <w:numId w:val="9"/>
        </w:numPr>
        <w:spacing w:after="0" w:line="240" w:lineRule="auto"/>
        <w:ind w:hanging="720"/>
        <w:rPr>
          <w:color w:val="000000"/>
          <w:szCs w:val="36"/>
        </w:rPr>
      </w:pPr>
      <w:r w:rsidRPr="003354A1">
        <w:rPr>
          <w:color w:val="000000"/>
          <w:szCs w:val="36"/>
        </w:rPr>
        <w:t>Eliminate ALL incentives for gas appliances</w:t>
      </w:r>
    </w:p>
    <w:p w14:paraId="3C9009B7" w14:textId="77777777" w:rsidR="000C28E4" w:rsidRPr="00F64223" w:rsidRDefault="000C28E4" w:rsidP="002C5257">
      <w:pPr>
        <w:pStyle w:val="ListParagraph"/>
        <w:numPr>
          <w:ilvl w:val="0"/>
          <w:numId w:val="9"/>
        </w:numPr>
        <w:spacing w:after="0" w:line="240" w:lineRule="auto"/>
        <w:ind w:hanging="720"/>
        <w:rPr>
          <w:color w:val="000000"/>
          <w:szCs w:val="36"/>
        </w:rPr>
      </w:pPr>
      <w:r>
        <w:rPr>
          <w:color w:val="000000"/>
          <w:szCs w:val="36"/>
        </w:rPr>
        <w:t xml:space="preserve">Create </w:t>
      </w:r>
      <w:r w:rsidRPr="00F64223">
        <w:rPr>
          <w:color w:val="000000"/>
          <w:szCs w:val="36"/>
        </w:rPr>
        <w:t>Stretch Building Codes and Incentives for EV charger infrastructure including residential and business</w:t>
      </w:r>
    </w:p>
    <w:p w14:paraId="7CD17E6E" w14:textId="77777777" w:rsidR="000C28E4" w:rsidRDefault="000C28E4" w:rsidP="002C5257">
      <w:pPr>
        <w:pStyle w:val="ListParagraph"/>
        <w:numPr>
          <w:ilvl w:val="0"/>
          <w:numId w:val="9"/>
        </w:numPr>
        <w:spacing w:after="0" w:line="240" w:lineRule="auto"/>
        <w:ind w:hanging="720"/>
        <w:rPr>
          <w:color w:val="000000"/>
          <w:szCs w:val="36"/>
        </w:rPr>
      </w:pPr>
      <w:r>
        <w:rPr>
          <w:color w:val="000000"/>
          <w:szCs w:val="36"/>
        </w:rPr>
        <w:t>Use</w:t>
      </w:r>
      <w:r w:rsidRPr="00EC12C2">
        <w:rPr>
          <w:color w:val="000000"/>
          <w:szCs w:val="36"/>
        </w:rPr>
        <w:t xml:space="preserve"> “heat pump”</w:t>
      </w:r>
      <w:r>
        <w:rPr>
          <w:color w:val="000000"/>
          <w:szCs w:val="36"/>
        </w:rPr>
        <w:t xml:space="preserve"> equipment </w:t>
      </w:r>
      <w:r w:rsidRPr="00EC12C2">
        <w:rPr>
          <w:color w:val="000000"/>
          <w:szCs w:val="36"/>
        </w:rPr>
        <w:t xml:space="preserve">to replace hot water heating &amp; clothes dryer.  </w:t>
      </w:r>
    </w:p>
    <w:p w14:paraId="0BEC30B5" w14:textId="77777777" w:rsidR="000C28E4" w:rsidRPr="008F2FD6" w:rsidRDefault="000C28E4" w:rsidP="002C5257">
      <w:pPr>
        <w:pStyle w:val="ListParagraph"/>
        <w:numPr>
          <w:ilvl w:val="0"/>
          <w:numId w:val="9"/>
        </w:numPr>
        <w:spacing w:after="0" w:line="240" w:lineRule="auto"/>
        <w:ind w:hanging="720"/>
        <w:rPr>
          <w:color w:val="000000"/>
          <w:szCs w:val="36"/>
        </w:rPr>
      </w:pPr>
      <w:r>
        <w:rPr>
          <w:color w:val="000000"/>
          <w:szCs w:val="36"/>
        </w:rPr>
        <w:t>Preferably use</w:t>
      </w:r>
      <w:r w:rsidRPr="008F2FD6">
        <w:rPr>
          <w:color w:val="000000"/>
          <w:szCs w:val="36"/>
        </w:rPr>
        <w:t xml:space="preserve"> highly efficient “induction” cooktops</w:t>
      </w:r>
      <w:r>
        <w:rPr>
          <w:color w:val="000000"/>
          <w:szCs w:val="36"/>
        </w:rPr>
        <w:t xml:space="preserve"> instead of radiant heat cooktops</w:t>
      </w:r>
      <w:r w:rsidRPr="008F2FD6">
        <w:rPr>
          <w:color w:val="000000"/>
          <w:szCs w:val="36"/>
        </w:rPr>
        <w:t>.</w:t>
      </w:r>
    </w:p>
    <w:p w14:paraId="7F155535" w14:textId="60782ED6" w:rsidR="000C28E4" w:rsidRPr="003354A1" w:rsidRDefault="000C28E4" w:rsidP="002C5257">
      <w:pPr>
        <w:pStyle w:val="ListParagraph"/>
        <w:numPr>
          <w:ilvl w:val="0"/>
          <w:numId w:val="9"/>
        </w:numPr>
        <w:spacing w:after="0" w:line="240" w:lineRule="auto"/>
        <w:ind w:hanging="720"/>
        <w:rPr>
          <w:color w:val="000000"/>
          <w:szCs w:val="36"/>
        </w:rPr>
      </w:pPr>
      <w:r>
        <w:rPr>
          <w:color w:val="000000"/>
          <w:szCs w:val="36"/>
        </w:rPr>
        <w:t>Develop c</w:t>
      </w:r>
      <w:r w:rsidRPr="003354A1">
        <w:rPr>
          <w:color w:val="000000"/>
          <w:szCs w:val="36"/>
        </w:rPr>
        <w:t>ost model</w:t>
      </w:r>
      <w:r>
        <w:rPr>
          <w:color w:val="000000"/>
          <w:szCs w:val="36"/>
        </w:rPr>
        <w:t xml:space="preserve"> to</w:t>
      </w:r>
      <w:r w:rsidRPr="003354A1">
        <w:rPr>
          <w:color w:val="000000"/>
          <w:szCs w:val="36"/>
        </w:rPr>
        <w:t xml:space="preserve"> demonstrat</w:t>
      </w:r>
      <w:r>
        <w:rPr>
          <w:color w:val="000000"/>
          <w:szCs w:val="36"/>
        </w:rPr>
        <w:t>e</w:t>
      </w:r>
      <w:r w:rsidRPr="003354A1">
        <w:rPr>
          <w:color w:val="000000"/>
          <w:szCs w:val="36"/>
        </w:rPr>
        <w:t xml:space="preserve"> savings, </w:t>
      </w:r>
      <w:r w:rsidR="008F3CF5" w:rsidRPr="003354A1">
        <w:rPr>
          <w:color w:val="000000"/>
          <w:szCs w:val="36"/>
        </w:rPr>
        <w:t>break-even</w:t>
      </w:r>
      <w:r w:rsidRPr="003354A1">
        <w:rPr>
          <w:color w:val="000000"/>
          <w:szCs w:val="36"/>
        </w:rPr>
        <w:t xml:space="preserve"> year, etc.</w:t>
      </w:r>
    </w:p>
    <w:p w14:paraId="7072E111" w14:textId="77777777" w:rsidR="000C28E4" w:rsidRPr="003354A1" w:rsidRDefault="000C28E4" w:rsidP="000C28E4">
      <w:pPr>
        <w:pStyle w:val="ListParagraph"/>
        <w:numPr>
          <w:ilvl w:val="0"/>
          <w:numId w:val="9"/>
        </w:numPr>
        <w:spacing w:after="0" w:line="240" w:lineRule="auto"/>
        <w:ind w:left="0"/>
        <w:rPr>
          <w:color w:val="000000"/>
          <w:szCs w:val="36"/>
        </w:rPr>
      </w:pPr>
      <w:r>
        <w:rPr>
          <w:color w:val="000000"/>
          <w:szCs w:val="36"/>
        </w:rPr>
        <w:t>Evaluate</w:t>
      </w:r>
      <w:r w:rsidRPr="003354A1">
        <w:rPr>
          <w:color w:val="000000"/>
          <w:szCs w:val="36"/>
        </w:rPr>
        <w:t xml:space="preserve"> “cold climate” heat pump refrigerant</w:t>
      </w:r>
      <w:r>
        <w:rPr>
          <w:color w:val="000000"/>
          <w:szCs w:val="36"/>
        </w:rPr>
        <w:t>. Is this</w:t>
      </w:r>
      <w:r w:rsidRPr="003354A1">
        <w:rPr>
          <w:color w:val="000000"/>
          <w:szCs w:val="36"/>
        </w:rPr>
        <w:t xml:space="preserve"> a</w:t>
      </w:r>
      <w:r>
        <w:rPr>
          <w:color w:val="000000"/>
          <w:szCs w:val="36"/>
        </w:rPr>
        <w:t>n issue for Building Electrification</w:t>
      </w:r>
      <w:r w:rsidRPr="003354A1">
        <w:rPr>
          <w:color w:val="000000"/>
          <w:szCs w:val="36"/>
        </w:rPr>
        <w:t>?</w:t>
      </w:r>
    </w:p>
    <w:p w14:paraId="02312B1C" w14:textId="77777777" w:rsidR="000C28E4" w:rsidRDefault="000C28E4" w:rsidP="000C28E4">
      <w:pPr>
        <w:pStyle w:val="ListParagraph"/>
        <w:numPr>
          <w:ilvl w:val="0"/>
          <w:numId w:val="9"/>
        </w:numPr>
        <w:spacing w:after="0" w:line="240" w:lineRule="auto"/>
        <w:ind w:left="0"/>
        <w:rPr>
          <w:color w:val="000000"/>
          <w:szCs w:val="36"/>
        </w:rPr>
      </w:pPr>
      <w:r>
        <w:rPr>
          <w:color w:val="000000"/>
          <w:szCs w:val="36"/>
        </w:rPr>
        <w:t>Ensure available:</w:t>
      </w:r>
    </w:p>
    <w:p w14:paraId="334F943C" w14:textId="77777777" w:rsidR="000C28E4" w:rsidRPr="003354A1" w:rsidRDefault="000C28E4" w:rsidP="000C28E4">
      <w:pPr>
        <w:pStyle w:val="ListParagraph"/>
        <w:numPr>
          <w:ilvl w:val="3"/>
          <w:numId w:val="9"/>
        </w:numPr>
        <w:spacing w:after="0" w:line="240" w:lineRule="auto"/>
        <w:rPr>
          <w:color w:val="000000"/>
          <w:szCs w:val="36"/>
        </w:rPr>
      </w:pPr>
      <w:r>
        <w:rPr>
          <w:color w:val="000000"/>
          <w:szCs w:val="36"/>
        </w:rPr>
        <w:t xml:space="preserve">list of “Energy Star: </w:t>
      </w:r>
      <w:r w:rsidRPr="003354A1">
        <w:rPr>
          <w:color w:val="000000"/>
          <w:szCs w:val="36"/>
        </w:rPr>
        <w:t xml:space="preserve">“cold climate” </w:t>
      </w:r>
      <w:r>
        <w:rPr>
          <w:color w:val="000000"/>
          <w:szCs w:val="36"/>
        </w:rPr>
        <w:t>h</w:t>
      </w:r>
      <w:r w:rsidRPr="003354A1">
        <w:rPr>
          <w:color w:val="000000"/>
          <w:szCs w:val="36"/>
        </w:rPr>
        <w:t xml:space="preserve">eat </w:t>
      </w:r>
      <w:r>
        <w:rPr>
          <w:color w:val="000000"/>
          <w:szCs w:val="36"/>
        </w:rPr>
        <w:t>p</w:t>
      </w:r>
      <w:r w:rsidRPr="003354A1">
        <w:rPr>
          <w:color w:val="000000"/>
          <w:szCs w:val="36"/>
        </w:rPr>
        <w:t>ump</w:t>
      </w:r>
      <w:r>
        <w:rPr>
          <w:color w:val="000000"/>
          <w:szCs w:val="36"/>
        </w:rPr>
        <w:t>s (see discussion, above)</w:t>
      </w:r>
    </w:p>
    <w:p w14:paraId="0EF68B15" w14:textId="77777777" w:rsidR="000C28E4" w:rsidRPr="003354A1" w:rsidRDefault="000C28E4" w:rsidP="000C28E4">
      <w:pPr>
        <w:pStyle w:val="ListParagraph"/>
        <w:numPr>
          <w:ilvl w:val="3"/>
          <w:numId w:val="9"/>
        </w:numPr>
        <w:spacing w:after="0" w:line="240" w:lineRule="auto"/>
        <w:rPr>
          <w:color w:val="000000"/>
          <w:szCs w:val="36"/>
        </w:rPr>
      </w:pPr>
      <w:r>
        <w:rPr>
          <w:color w:val="000000"/>
          <w:szCs w:val="36"/>
        </w:rPr>
        <w:t>list of</w:t>
      </w:r>
      <w:r w:rsidRPr="003354A1">
        <w:rPr>
          <w:color w:val="000000"/>
          <w:szCs w:val="36"/>
        </w:rPr>
        <w:t xml:space="preserve"> “cold climate” </w:t>
      </w:r>
      <w:r>
        <w:rPr>
          <w:color w:val="000000"/>
          <w:szCs w:val="36"/>
        </w:rPr>
        <w:t>h</w:t>
      </w:r>
      <w:r w:rsidRPr="003354A1">
        <w:rPr>
          <w:color w:val="000000"/>
          <w:szCs w:val="36"/>
        </w:rPr>
        <w:t xml:space="preserve">eat </w:t>
      </w:r>
      <w:r>
        <w:rPr>
          <w:color w:val="000000"/>
          <w:szCs w:val="36"/>
        </w:rPr>
        <w:t>p</w:t>
      </w:r>
      <w:r w:rsidRPr="003354A1">
        <w:rPr>
          <w:color w:val="000000"/>
          <w:szCs w:val="36"/>
        </w:rPr>
        <w:t>ump installation contractors</w:t>
      </w:r>
    </w:p>
    <w:p w14:paraId="23426179" w14:textId="5DF8951C" w:rsidR="000C28E4" w:rsidRPr="003354A1" w:rsidRDefault="000C28E4" w:rsidP="000C28E4">
      <w:pPr>
        <w:pStyle w:val="ListParagraph"/>
        <w:numPr>
          <w:ilvl w:val="3"/>
          <w:numId w:val="9"/>
        </w:numPr>
        <w:spacing w:after="0" w:line="240" w:lineRule="auto"/>
        <w:rPr>
          <w:color w:val="000000"/>
          <w:szCs w:val="36"/>
        </w:rPr>
      </w:pPr>
      <w:r>
        <w:rPr>
          <w:color w:val="000000"/>
          <w:szCs w:val="36"/>
        </w:rPr>
        <w:t>list of h</w:t>
      </w:r>
      <w:r w:rsidRPr="003354A1">
        <w:rPr>
          <w:color w:val="000000"/>
          <w:szCs w:val="36"/>
        </w:rPr>
        <w:t>eat pump water heater</w:t>
      </w:r>
      <w:r w:rsidR="00992938">
        <w:rPr>
          <w:color w:val="000000"/>
          <w:szCs w:val="36"/>
        </w:rPr>
        <w:t>s</w:t>
      </w:r>
      <w:r w:rsidRPr="003354A1">
        <w:rPr>
          <w:color w:val="000000"/>
          <w:szCs w:val="36"/>
        </w:rPr>
        <w:t xml:space="preserve"> and dryer</w:t>
      </w:r>
      <w:r w:rsidR="00992938">
        <w:rPr>
          <w:color w:val="000000"/>
          <w:szCs w:val="36"/>
        </w:rPr>
        <w:t>s</w:t>
      </w:r>
    </w:p>
    <w:p w14:paraId="44A22551" w14:textId="77777777" w:rsidR="000C28E4" w:rsidRPr="003354A1" w:rsidRDefault="000C28E4" w:rsidP="000C28E4">
      <w:pPr>
        <w:pStyle w:val="ListParagraph"/>
        <w:numPr>
          <w:ilvl w:val="0"/>
          <w:numId w:val="9"/>
        </w:numPr>
        <w:spacing w:after="0" w:line="240" w:lineRule="auto"/>
        <w:ind w:left="0"/>
        <w:rPr>
          <w:color w:val="000000"/>
          <w:szCs w:val="36"/>
        </w:rPr>
      </w:pPr>
      <w:r w:rsidRPr="003354A1">
        <w:rPr>
          <w:color w:val="000000"/>
          <w:szCs w:val="36"/>
        </w:rPr>
        <w:t>Summarize NJ (</w:t>
      </w:r>
      <w:r>
        <w:rPr>
          <w:color w:val="000000"/>
          <w:szCs w:val="36"/>
        </w:rPr>
        <w:t>heat pump</w:t>
      </w:r>
      <w:r w:rsidRPr="003354A1">
        <w:rPr>
          <w:color w:val="000000"/>
          <w:szCs w:val="36"/>
        </w:rPr>
        <w:t xml:space="preserve"> &amp; appliance) rebates.  How to improve them?</w:t>
      </w:r>
    </w:p>
    <w:p w14:paraId="1B7E5D69" w14:textId="77777777" w:rsidR="000C28E4" w:rsidRPr="003354A1" w:rsidRDefault="000C28E4" w:rsidP="000C28E4">
      <w:pPr>
        <w:pStyle w:val="ListParagraph"/>
        <w:numPr>
          <w:ilvl w:val="0"/>
          <w:numId w:val="9"/>
        </w:numPr>
        <w:spacing w:after="0" w:line="240" w:lineRule="auto"/>
        <w:ind w:left="0"/>
        <w:rPr>
          <w:color w:val="000000"/>
          <w:szCs w:val="36"/>
        </w:rPr>
      </w:pPr>
      <w:r w:rsidRPr="003354A1">
        <w:rPr>
          <w:color w:val="000000"/>
          <w:szCs w:val="36"/>
        </w:rPr>
        <w:t>Summarize Federal rebates and legislative status.</w:t>
      </w:r>
    </w:p>
    <w:p w14:paraId="59D23579" w14:textId="77777777" w:rsidR="000C28E4" w:rsidRDefault="000C28E4" w:rsidP="000C28E4">
      <w:pPr>
        <w:pStyle w:val="ListParagraph"/>
        <w:numPr>
          <w:ilvl w:val="0"/>
          <w:numId w:val="9"/>
        </w:numPr>
        <w:spacing w:after="0" w:line="240" w:lineRule="auto"/>
        <w:ind w:left="0"/>
        <w:rPr>
          <w:color w:val="000000"/>
          <w:szCs w:val="36"/>
        </w:rPr>
      </w:pPr>
      <w:r w:rsidRPr="003354A1">
        <w:rPr>
          <w:color w:val="000000"/>
          <w:szCs w:val="36"/>
        </w:rPr>
        <w:t>What are the “code” action items that support Building Electrification?</w:t>
      </w:r>
    </w:p>
    <w:p w14:paraId="705A42DD" w14:textId="77777777" w:rsidR="000C28E4" w:rsidRPr="003354A1" w:rsidRDefault="000C28E4" w:rsidP="000C28E4">
      <w:pPr>
        <w:pStyle w:val="ListParagraph"/>
        <w:numPr>
          <w:ilvl w:val="3"/>
          <w:numId w:val="9"/>
        </w:numPr>
        <w:spacing w:after="0" w:line="240" w:lineRule="auto"/>
        <w:rPr>
          <w:color w:val="000000"/>
          <w:szCs w:val="36"/>
        </w:rPr>
      </w:pPr>
      <w:r>
        <w:rPr>
          <w:color w:val="000000"/>
          <w:szCs w:val="36"/>
        </w:rPr>
        <w:t>Examine NEEP stretch codes – is this best model for NJ?</w:t>
      </w:r>
    </w:p>
    <w:p w14:paraId="51C4054E" w14:textId="77777777" w:rsidR="000C28E4" w:rsidRDefault="000C28E4" w:rsidP="000C28E4">
      <w:pPr>
        <w:pStyle w:val="ListParagraph"/>
        <w:numPr>
          <w:ilvl w:val="3"/>
          <w:numId w:val="9"/>
        </w:numPr>
        <w:spacing w:after="0" w:line="240" w:lineRule="auto"/>
        <w:rPr>
          <w:color w:val="000000"/>
          <w:szCs w:val="36"/>
        </w:rPr>
      </w:pPr>
      <w:r>
        <w:rPr>
          <w:color w:val="000000"/>
          <w:szCs w:val="36"/>
        </w:rPr>
        <w:t>Examine if stretch building codes could be indirectly mandated (add to required municipal Master Plan updates?)</w:t>
      </w:r>
    </w:p>
    <w:p w14:paraId="680C6643" w14:textId="77777777" w:rsidR="000C28E4" w:rsidRDefault="000C28E4" w:rsidP="002C5257">
      <w:pPr>
        <w:pStyle w:val="ListParagraph"/>
        <w:numPr>
          <w:ilvl w:val="0"/>
          <w:numId w:val="9"/>
        </w:numPr>
        <w:spacing w:after="0" w:line="240" w:lineRule="auto"/>
        <w:ind w:hanging="720"/>
        <w:rPr>
          <w:color w:val="000000"/>
          <w:szCs w:val="36"/>
        </w:rPr>
      </w:pPr>
      <w:r w:rsidRPr="003354A1">
        <w:rPr>
          <w:color w:val="000000"/>
          <w:szCs w:val="36"/>
        </w:rPr>
        <w:lastRenderedPageBreak/>
        <w:t xml:space="preserve">Develop renewableheatnowNJ.org Building Electrification website that outlines the problem, goals, bills, points to NJ rebates, covers the topics above, etc.  See </w:t>
      </w:r>
      <w:hyperlink r:id="rId15" w:history="1">
        <w:r w:rsidRPr="00B450DC">
          <w:rPr>
            <w:rStyle w:val="Hyperlink"/>
            <w:szCs w:val="36"/>
          </w:rPr>
          <w:t>https://renewableheatnow.org/</w:t>
        </w:r>
      </w:hyperlink>
    </w:p>
    <w:p w14:paraId="3EBC0BE1" w14:textId="77777777" w:rsidR="000C28E4" w:rsidRPr="003354A1" w:rsidRDefault="000C28E4" w:rsidP="002C5257">
      <w:pPr>
        <w:pStyle w:val="ListParagraph"/>
        <w:numPr>
          <w:ilvl w:val="0"/>
          <w:numId w:val="9"/>
        </w:numPr>
        <w:spacing w:after="0" w:line="240" w:lineRule="auto"/>
        <w:ind w:hanging="720"/>
        <w:rPr>
          <w:color w:val="000000"/>
          <w:szCs w:val="36"/>
        </w:rPr>
      </w:pPr>
      <w:r w:rsidRPr="003354A1">
        <w:rPr>
          <w:color w:val="000000"/>
          <w:szCs w:val="36"/>
        </w:rPr>
        <w:t>Convert NY Bill Sheet to NJ Bill Sheet</w:t>
      </w:r>
      <w:r>
        <w:rPr>
          <w:color w:val="000000"/>
          <w:szCs w:val="36"/>
        </w:rPr>
        <w:t xml:space="preserve"> &amp; develop NJ “talking points”</w:t>
      </w:r>
    </w:p>
    <w:p w14:paraId="4F209406" w14:textId="77777777" w:rsidR="000C28E4" w:rsidRPr="002B4BCC" w:rsidRDefault="000C28E4" w:rsidP="002C5257">
      <w:pPr>
        <w:pStyle w:val="ListParagraph"/>
        <w:numPr>
          <w:ilvl w:val="0"/>
          <w:numId w:val="9"/>
        </w:numPr>
        <w:spacing w:after="0" w:line="240" w:lineRule="auto"/>
        <w:ind w:hanging="720"/>
        <w:rPr>
          <w:color w:val="000000"/>
          <w:szCs w:val="36"/>
        </w:rPr>
      </w:pPr>
      <w:r w:rsidRPr="003354A1">
        <w:rPr>
          <w:color w:val="000000"/>
          <w:szCs w:val="36"/>
        </w:rPr>
        <w:t>Develop Legislative Agenda, Bills, and legislative/lobbying strategy &amp; plan.</w:t>
      </w:r>
    </w:p>
    <w:p w14:paraId="2FDB897D" w14:textId="72EFFD09" w:rsidR="000C28E4" w:rsidRPr="003354A1" w:rsidRDefault="000C28E4" w:rsidP="002C5257">
      <w:pPr>
        <w:pStyle w:val="ListParagraph"/>
        <w:numPr>
          <w:ilvl w:val="0"/>
          <w:numId w:val="9"/>
        </w:numPr>
        <w:spacing w:after="0" w:line="240" w:lineRule="auto"/>
        <w:ind w:hanging="720"/>
        <w:rPr>
          <w:color w:val="000000"/>
          <w:szCs w:val="36"/>
        </w:rPr>
      </w:pPr>
      <w:r>
        <w:rPr>
          <w:color w:val="000000"/>
          <w:szCs w:val="36"/>
        </w:rPr>
        <w:t xml:space="preserve">Create NJ equivalent of </w:t>
      </w:r>
      <w:r w:rsidR="008F3CF5">
        <w:rPr>
          <w:color w:val="000000"/>
          <w:szCs w:val="36"/>
        </w:rPr>
        <w:t>following “</w:t>
      </w:r>
      <w:r>
        <w:rPr>
          <w:color w:val="000000"/>
          <w:szCs w:val="36"/>
        </w:rPr>
        <w:t>Renewable Heat Now Legislative Package”:</w:t>
      </w:r>
    </w:p>
    <w:p w14:paraId="14365C0D" w14:textId="77777777" w:rsidR="000C28E4" w:rsidRDefault="000C28E4" w:rsidP="003354A1">
      <w:pPr>
        <w:pStyle w:val="ListParagraph"/>
        <w:rPr>
          <w:color w:val="000000"/>
          <w:szCs w:val="36"/>
        </w:rPr>
      </w:pPr>
    </w:p>
    <w:p w14:paraId="63A683B7" w14:textId="06C6E987" w:rsidR="000C28E4" w:rsidRPr="008F3CF5" w:rsidRDefault="000C28E4" w:rsidP="008F3CF5">
      <w:pPr>
        <w:pStyle w:val="ListParagraph"/>
        <w:rPr>
          <w:color w:val="000000"/>
          <w:szCs w:val="36"/>
        </w:rPr>
      </w:pPr>
      <w:r>
        <w:rPr>
          <w:noProof/>
        </w:rPr>
        <w:drawing>
          <wp:inline distT="0" distB="0" distL="0" distR="0" wp14:anchorId="4157B02F" wp14:editId="5236523C">
            <wp:extent cx="5448300" cy="6800850"/>
            <wp:effectExtent l="0" t="0" r="0" b="0"/>
            <wp:docPr id="86" name="Picture 85"/>
            <wp:cNvGraphicFramePr/>
            <a:graphic xmlns:a="http://schemas.openxmlformats.org/drawingml/2006/main">
              <a:graphicData uri="http://schemas.openxmlformats.org/drawingml/2006/picture">
                <pic:pic xmlns:pic="http://schemas.openxmlformats.org/drawingml/2006/picture">
                  <pic:nvPicPr>
                    <pic:cNvPr id="86" name="Picture 85"/>
                    <pic:cNvPicPr/>
                  </pic:nvPicPr>
                  <pic:blipFill>
                    <a:blip r:embed="rId16"/>
                    <a:stretch/>
                  </pic:blipFill>
                  <pic:spPr>
                    <a:xfrm>
                      <a:off x="0" y="0"/>
                      <a:ext cx="5448595" cy="6801218"/>
                    </a:xfrm>
                    <a:prstGeom prst="rect">
                      <a:avLst/>
                    </a:prstGeom>
                    <a:ln w="0">
                      <a:noFill/>
                    </a:ln>
                  </pic:spPr>
                </pic:pic>
              </a:graphicData>
            </a:graphic>
          </wp:inline>
        </w:drawing>
      </w:r>
    </w:p>
    <w:p w14:paraId="0617EDCF" w14:textId="2638BEA6" w:rsidR="000C28E4" w:rsidRDefault="000C28E4" w:rsidP="00512E0B">
      <w:pPr>
        <w:pStyle w:val="ListParagraph"/>
        <w:jc w:val="center"/>
        <w:rPr>
          <w:color w:val="000000"/>
          <w:sz w:val="40"/>
          <w:szCs w:val="40"/>
        </w:rPr>
      </w:pPr>
      <w:bookmarkStart w:id="0" w:name="_Hlk93959406"/>
      <w:r w:rsidRPr="00512E0B">
        <w:rPr>
          <w:color w:val="000000"/>
          <w:sz w:val="40"/>
          <w:szCs w:val="40"/>
        </w:rPr>
        <w:lastRenderedPageBreak/>
        <w:t>CLEAN ELECTRIC SUPPLEMENT</w:t>
      </w:r>
    </w:p>
    <w:bookmarkEnd w:id="0"/>
    <w:p w14:paraId="064289E7" w14:textId="30663043" w:rsidR="00B71D52" w:rsidRDefault="009F7B99" w:rsidP="00B71D52">
      <w:pPr>
        <w:pStyle w:val="ListParagraph"/>
        <w:rPr>
          <w:b/>
          <w:bCs/>
        </w:rPr>
      </w:pPr>
      <w:r>
        <w:rPr>
          <w:b/>
          <w:bCs/>
        </w:rPr>
        <w:t xml:space="preserve">This section is </w:t>
      </w:r>
      <w:r w:rsidR="00B71D52">
        <w:rPr>
          <w:b/>
          <w:bCs/>
        </w:rPr>
        <w:t>to help launch</w:t>
      </w:r>
      <w:r>
        <w:rPr>
          <w:b/>
          <w:bCs/>
        </w:rPr>
        <w:t xml:space="preserve"> the</w:t>
      </w:r>
      <w:r w:rsidRPr="005F012A">
        <w:rPr>
          <w:b/>
          <w:bCs/>
        </w:rPr>
        <w:t xml:space="preserve"> “</w:t>
      </w:r>
      <w:r>
        <w:rPr>
          <w:b/>
          <w:bCs/>
        </w:rPr>
        <w:t xml:space="preserve">ENERGY GROUP”.  </w:t>
      </w:r>
      <w:r w:rsidR="00B71D52">
        <w:rPr>
          <w:b/>
          <w:bCs/>
        </w:rPr>
        <w:t>The following are the most significant recommendations:</w:t>
      </w:r>
    </w:p>
    <w:p w14:paraId="60EEC4D5" w14:textId="7A341416" w:rsidR="009F7B99" w:rsidRPr="0005786B" w:rsidRDefault="009F7B99" w:rsidP="00B71D52">
      <w:pPr>
        <w:pStyle w:val="ListParagraph"/>
        <w:numPr>
          <w:ilvl w:val="0"/>
          <w:numId w:val="12"/>
        </w:numPr>
        <w:rPr>
          <w:color w:val="000000"/>
        </w:rPr>
      </w:pPr>
      <w:r>
        <w:rPr>
          <w:color w:val="000000"/>
        </w:rPr>
        <w:t>Recommend t</w:t>
      </w:r>
      <w:r w:rsidRPr="005F012A">
        <w:rPr>
          <w:color w:val="000000"/>
        </w:rPr>
        <w:t xml:space="preserve">he NJ BPU closely </w:t>
      </w:r>
      <w:r>
        <w:rPr>
          <w:color w:val="000000"/>
        </w:rPr>
        <w:t>evaluate a promising proposal to increase renewable electric content in both NJ, and in the PJM region.  This proposal begins with</w:t>
      </w:r>
      <w:r w:rsidR="00B71D52">
        <w:rPr>
          <w:color w:val="000000"/>
        </w:rPr>
        <w:t xml:space="preserve"> </w:t>
      </w:r>
      <w:r w:rsidRPr="0005786B">
        <w:rPr>
          <w:color w:val="000000"/>
        </w:rPr>
        <w:t>“Implement a PJM-wide or New Jersey-only Integrated Clean Capacity Market (ICCM)”.</w:t>
      </w:r>
    </w:p>
    <w:p w14:paraId="430201AF" w14:textId="77777777" w:rsidR="009F7B99" w:rsidRPr="00BA0A78" w:rsidRDefault="009F7B99" w:rsidP="009F7B99">
      <w:pPr>
        <w:pStyle w:val="ListParagraph"/>
        <w:numPr>
          <w:ilvl w:val="0"/>
          <w:numId w:val="12"/>
        </w:numPr>
        <w:spacing w:after="0" w:line="240" w:lineRule="auto"/>
        <w:rPr>
          <w:color w:val="000000"/>
        </w:rPr>
      </w:pPr>
      <w:r>
        <w:rPr>
          <w:color w:val="000000"/>
        </w:rPr>
        <w:t>For maximum rollout of “Building Electrification”, certain “actions” are required by the “Energy Group”, such as creating incentives for upgrades to Electrical Service Entrance Capacity for many residences, and likely some businesses.</w:t>
      </w:r>
    </w:p>
    <w:p w14:paraId="3F077C67" w14:textId="77777777" w:rsidR="009F7B99" w:rsidRPr="00C54A83" w:rsidRDefault="009F7B99" w:rsidP="009F7B99">
      <w:pPr>
        <w:pStyle w:val="ListParagraph"/>
        <w:numPr>
          <w:ilvl w:val="0"/>
          <w:numId w:val="12"/>
        </w:numPr>
        <w:spacing w:after="0" w:line="240" w:lineRule="auto"/>
        <w:rPr>
          <w:color w:val="000000"/>
        </w:rPr>
      </w:pPr>
      <w:r>
        <w:rPr>
          <w:color w:val="000000"/>
        </w:rPr>
        <w:t xml:space="preserve">Consider developing a “Carbon Reduction Model”- shown on last page.  </w:t>
      </w:r>
    </w:p>
    <w:p w14:paraId="1D3C4F7D" w14:textId="1CC1473D" w:rsidR="009F7B99" w:rsidRPr="008F1395" w:rsidRDefault="00B71D52" w:rsidP="009F7B99">
      <w:pPr>
        <w:pStyle w:val="ListParagraph"/>
        <w:numPr>
          <w:ilvl w:val="0"/>
          <w:numId w:val="12"/>
        </w:numPr>
        <w:spacing w:after="0" w:line="240" w:lineRule="auto"/>
        <w:rPr>
          <w:color w:val="000000"/>
        </w:rPr>
      </w:pPr>
      <w:r>
        <w:rPr>
          <w:color w:val="000000"/>
        </w:rPr>
        <w:t xml:space="preserve">Consider </w:t>
      </w:r>
      <w:r w:rsidR="009F7B99">
        <w:rPr>
          <w:color w:val="000000"/>
        </w:rPr>
        <w:t xml:space="preserve">NJ </w:t>
      </w:r>
      <w:r w:rsidR="009F7B99" w:rsidRPr="008F1395">
        <w:rPr>
          <w:color w:val="000000"/>
        </w:rPr>
        <w:t xml:space="preserve">GHG emission </w:t>
      </w:r>
      <w:r w:rsidR="009F7B99">
        <w:rPr>
          <w:color w:val="000000"/>
        </w:rPr>
        <w:t xml:space="preserve">gap </w:t>
      </w:r>
      <w:r w:rsidR="009F7B99" w:rsidRPr="008F1395">
        <w:rPr>
          <w:color w:val="000000"/>
        </w:rPr>
        <w:t xml:space="preserve">to reach 50% reduction by 2030, </w:t>
      </w:r>
      <w:r>
        <w:rPr>
          <w:color w:val="000000"/>
        </w:rPr>
        <w:t>as</w:t>
      </w:r>
      <w:r w:rsidR="009F7B99" w:rsidRPr="008F1395">
        <w:rPr>
          <w:color w:val="000000"/>
        </w:rPr>
        <w:t xml:space="preserve"> described by Mike Winka (former BPU </w:t>
      </w:r>
      <w:r w:rsidR="009F7B99">
        <w:rPr>
          <w:color w:val="000000"/>
        </w:rPr>
        <w:t>Senior technical advisor to the BPU President</w:t>
      </w:r>
      <w:r w:rsidR="009F7B99" w:rsidRPr="008F1395">
        <w:rPr>
          <w:color w:val="000000"/>
        </w:rPr>
        <w:t xml:space="preserve">) in the Dec 16 webinar of the “50x30 Team”.  </w:t>
      </w:r>
      <w:r>
        <w:rPr>
          <w:color w:val="000000"/>
        </w:rPr>
        <w:t>Mike was the lead speaker in this</w:t>
      </w:r>
      <w:r w:rsidR="009F7B99" w:rsidRPr="008F1395">
        <w:rPr>
          <w:color w:val="000000"/>
        </w:rPr>
        <w:t xml:space="preserve"> recording</w:t>
      </w:r>
      <w:r>
        <w:rPr>
          <w:color w:val="000000"/>
        </w:rPr>
        <w:t xml:space="preserve">: </w:t>
      </w:r>
      <w:hyperlink r:id="rId17" w:history="1">
        <w:r w:rsidRPr="008D1F04">
          <w:rPr>
            <w:rStyle w:val="Hyperlink"/>
          </w:rPr>
          <w:t>https://www.youtube.com/watch?v=BBmaMbgjij0</w:t>
        </w:r>
      </w:hyperlink>
      <w:r w:rsidR="009F7B99" w:rsidRPr="008F1395">
        <w:rPr>
          <w:color w:val="000000"/>
        </w:rPr>
        <w:t xml:space="preserve"> </w:t>
      </w:r>
      <w:r>
        <w:rPr>
          <w:color w:val="000000"/>
        </w:rPr>
        <w:t xml:space="preserve">  Mike’s </w:t>
      </w:r>
      <w:r w:rsidR="009F7B99">
        <w:rPr>
          <w:color w:val="000000"/>
        </w:rPr>
        <w:t>slides are</w:t>
      </w:r>
      <w:r>
        <w:rPr>
          <w:color w:val="000000"/>
        </w:rPr>
        <w:t xml:space="preserve"> found at</w:t>
      </w:r>
      <w:r w:rsidR="009F7B99" w:rsidRPr="008F1395">
        <w:rPr>
          <w:color w:val="000000"/>
        </w:rPr>
        <w:t xml:space="preserve">  </w:t>
      </w:r>
      <w:r w:rsidR="009F7B99" w:rsidRPr="008F1395">
        <w:rPr>
          <w:rFonts w:ascii="Calibri" w:eastAsia="Calibri" w:hAnsi="Calibri"/>
        </w:rPr>
        <w:t>Winka-</w:t>
      </w:r>
      <w:hyperlink r:id="rId18" w:history="1">
        <w:r w:rsidR="009F7B99" w:rsidRPr="008F1395">
          <w:rPr>
            <w:rFonts w:ascii="Calibri" w:eastAsia="Calibri" w:hAnsi="Calibri"/>
            <w:color w:val="0000FF"/>
            <w:u w:val="single"/>
          </w:rPr>
          <w:t>slides-pdf</w:t>
        </w:r>
      </w:hyperlink>
      <w:r w:rsidR="009F7B99" w:rsidRPr="008F1395">
        <w:rPr>
          <w:rFonts w:ascii="Calibri" w:eastAsia="Calibri" w:hAnsi="Calibri"/>
        </w:rPr>
        <w:t>;</w:t>
      </w:r>
      <w:r>
        <w:rPr>
          <w:rFonts w:ascii="Calibri" w:eastAsia="Calibri" w:hAnsi="Calibri"/>
        </w:rPr>
        <w:t xml:space="preserve"> or</w:t>
      </w:r>
      <w:r w:rsidR="009F7B99" w:rsidRPr="008F1395">
        <w:rPr>
          <w:rFonts w:ascii="Calibri" w:eastAsia="Calibri" w:hAnsi="Calibri"/>
        </w:rPr>
        <w:t xml:space="preserve"> Winka-</w:t>
      </w:r>
      <w:hyperlink r:id="rId19" w:history="1">
        <w:r w:rsidR="009F7B99" w:rsidRPr="008F1395">
          <w:rPr>
            <w:rFonts w:ascii="Calibri" w:eastAsia="Calibri" w:hAnsi="Calibri"/>
            <w:color w:val="0000FF"/>
            <w:u w:val="single"/>
          </w:rPr>
          <w:t>slides-PPTX</w:t>
        </w:r>
      </w:hyperlink>
    </w:p>
    <w:p w14:paraId="15146695" w14:textId="77777777" w:rsidR="009F7B99" w:rsidRDefault="009F7B99" w:rsidP="00845A92">
      <w:pPr>
        <w:ind w:left="540"/>
        <w:rPr>
          <w:b/>
          <w:bCs/>
          <w:color w:val="000000"/>
          <w:sz w:val="28"/>
          <w:szCs w:val="28"/>
        </w:rPr>
      </w:pPr>
    </w:p>
    <w:p w14:paraId="5F0AC802" w14:textId="6703BA71" w:rsidR="000C28E4" w:rsidRPr="00F64223" w:rsidRDefault="000C28E4" w:rsidP="00845A92">
      <w:pPr>
        <w:ind w:left="540"/>
        <w:rPr>
          <w:b/>
          <w:bCs/>
          <w:color w:val="000000"/>
          <w:sz w:val="28"/>
          <w:szCs w:val="28"/>
        </w:rPr>
      </w:pPr>
      <w:r w:rsidRPr="00F64223">
        <w:rPr>
          <w:b/>
          <w:bCs/>
          <w:color w:val="000000"/>
          <w:sz w:val="28"/>
          <w:szCs w:val="28"/>
        </w:rPr>
        <w:t>100% Clean Electric – Statistics</w:t>
      </w:r>
    </w:p>
    <w:p w14:paraId="3BA7DC34" w14:textId="55567C73" w:rsidR="000C28E4" w:rsidRPr="00F378BA" w:rsidRDefault="000C28E4" w:rsidP="000C28E4">
      <w:pPr>
        <w:pStyle w:val="ListParagraph"/>
        <w:numPr>
          <w:ilvl w:val="0"/>
          <w:numId w:val="10"/>
        </w:numPr>
        <w:spacing w:after="0" w:line="240" w:lineRule="auto"/>
        <w:rPr>
          <w:color w:val="000000"/>
        </w:rPr>
      </w:pPr>
      <w:r w:rsidRPr="00F378BA">
        <w:rPr>
          <w:color w:val="000000"/>
        </w:rPr>
        <w:t>NJ electric generation for 2021: ~ 52 TWH</w:t>
      </w:r>
      <w:r w:rsidR="00BE337B">
        <w:rPr>
          <w:color w:val="000000"/>
        </w:rPr>
        <w:t xml:space="preserve"> </w:t>
      </w:r>
      <w:r w:rsidR="00BE337B">
        <w:rPr>
          <w:rStyle w:val="FootnoteReference"/>
          <w:color w:val="000000"/>
        </w:rPr>
        <w:footnoteReference w:id="2"/>
      </w:r>
      <w:r w:rsidRPr="00F378BA">
        <w:rPr>
          <w:color w:val="000000"/>
        </w:rPr>
        <w:t xml:space="preserve"> (only 2.9 TWH renewables)</w:t>
      </w:r>
    </w:p>
    <w:p w14:paraId="31B78AD0" w14:textId="29BB31E8" w:rsidR="000C28E4" w:rsidRPr="00F378BA" w:rsidRDefault="000C28E4" w:rsidP="000C28E4">
      <w:pPr>
        <w:pStyle w:val="ListParagraph"/>
        <w:numPr>
          <w:ilvl w:val="0"/>
          <w:numId w:val="10"/>
        </w:numPr>
        <w:spacing w:after="0" w:line="240" w:lineRule="auto"/>
        <w:rPr>
          <w:color w:val="000000"/>
        </w:rPr>
      </w:pPr>
      <w:r w:rsidRPr="00F378BA">
        <w:rPr>
          <w:color w:val="000000"/>
        </w:rPr>
        <w:t>NJ offshore wind goal is 7.5 GW</w:t>
      </w:r>
      <w:r w:rsidR="00BE337B">
        <w:rPr>
          <w:color w:val="000000"/>
        </w:rPr>
        <w:t xml:space="preserve"> </w:t>
      </w:r>
      <w:r w:rsidR="00BE337B">
        <w:rPr>
          <w:rStyle w:val="FootnoteReference"/>
          <w:color w:val="000000"/>
        </w:rPr>
        <w:footnoteReference w:id="3"/>
      </w:r>
      <w:r w:rsidRPr="00F378BA">
        <w:rPr>
          <w:color w:val="000000"/>
        </w:rPr>
        <w:t xml:space="preserve"> by 2035 (3.7 GW currently planned)  </w:t>
      </w:r>
    </w:p>
    <w:p w14:paraId="695511D2" w14:textId="0FD9429E" w:rsidR="000C28E4" w:rsidRPr="00F378BA" w:rsidRDefault="000C28E4" w:rsidP="000C28E4">
      <w:pPr>
        <w:pStyle w:val="ListParagraph"/>
        <w:numPr>
          <w:ilvl w:val="0"/>
          <w:numId w:val="10"/>
        </w:numPr>
        <w:spacing w:after="0" w:line="240" w:lineRule="auto"/>
        <w:rPr>
          <w:color w:val="000000"/>
        </w:rPr>
      </w:pPr>
      <w:r w:rsidRPr="00F378BA">
        <w:rPr>
          <w:color w:val="000000"/>
        </w:rPr>
        <w:t>Thus wind is estimated at 32%</w:t>
      </w:r>
      <w:r w:rsidR="00BE337B">
        <w:rPr>
          <w:color w:val="000000"/>
        </w:rPr>
        <w:t xml:space="preserve"> </w:t>
      </w:r>
      <w:r w:rsidR="00BE337B">
        <w:rPr>
          <w:rStyle w:val="FootnoteReference"/>
          <w:color w:val="000000"/>
        </w:rPr>
        <w:footnoteReference w:id="4"/>
      </w:r>
      <w:r w:rsidRPr="00F378BA">
        <w:rPr>
          <w:color w:val="000000"/>
        </w:rPr>
        <w:t xml:space="preserve"> of routine electric needed by 2035</w:t>
      </w:r>
    </w:p>
    <w:p w14:paraId="7F999155" w14:textId="29E3FE05" w:rsidR="000C28E4" w:rsidRPr="00F378BA" w:rsidRDefault="000C28E4" w:rsidP="000C28E4">
      <w:pPr>
        <w:pStyle w:val="ListParagraph"/>
        <w:numPr>
          <w:ilvl w:val="0"/>
          <w:numId w:val="10"/>
        </w:numPr>
        <w:spacing w:after="0" w:line="240" w:lineRule="auto"/>
        <w:rPr>
          <w:color w:val="000000"/>
        </w:rPr>
      </w:pPr>
      <w:r w:rsidRPr="00F378BA">
        <w:rPr>
          <w:color w:val="000000"/>
        </w:rPr>
        <w:t>NJ installed solar power at 2740 MW or 4.2%</w:t>
      </w:r>
      <w:r w:rsidR="00326DD9">
        <w:rPr>
          <w:color w:val="000000"/>
        </w:rPr>
        <w:t xml:space="preserve"> </w:t>
      </w:r>
      <w:r w:rsidR="00326DD9">
        <w:rPr>
          <w:rStyle w:val="FootnoteReference"/>
          <w:color w:val="000000"/>
        </w:rPr>
        <w:footnoteReference w:id="5"/>
      </w:r>
      <w:r w:rsidRPr="00F378BA">
        <w:rPr>
          <w:color w:val="000000"/>
        </w:rPr>
        <w:t xml:space="preserve"> of NJ electric in 2018</w:t>
      </w:r>
    </w:p>
    <w:p w14:paraId="4169673C" w14:textId="29A97B06" w:rsidR="000C28E4" w:rsidRPr="00F378BA" w:rsidRDefault="000C28E4" w:rsidP="000C28E4">
      <w:pPr>
        <w:pStyle w:val="ListParagraph"/>
        <w:numPr>
          <w:ilvl w:val="0"/>
          <w:numId w:val="10"/>
        </w:numPr>
        <w:spacing w:after="0" w:line="240" w:lineRule="auto"/>
        <w:rPr>
          <w:color w:val="000000"/>
        </w:rPr>
      </w:pPr>
      <w:r w:rsidRPr="00F378BA">
        <w:rPr>
          <w:color w:val="000000"/>
        </w:rPr>
        <w:t>NJ incentives established to obtain projected 3750 MW solar by 2026 and seeks solar at 10% of consumption by 2050</w:t>
      </w:r>
      <w:r w:rsidR="00326DD9">
        <w:rPr>
          <w:color w:val="000000"/>
        </w:rPr>
        <w:t xml:space="preserve"> </w:t>
      </w:r>
      <w:r w:rsidR="00326DD9">
        <w:rPr>
          <w:rStyle w:val="FootnoteReference"/>
          <w:color w:val="000000"/>
        </w:rPr>
        <w:footnoteReference w:id="6"/>
      </w:r>
    </w:p>
    <w:p w14:paraId="03AA3E4B" w14:textId="77777777" w:rsidR="000C28E4" w:rsidRPr="00F378BA" w:rsidRDefault="000C28E4" w:rsidP="000C28E4">
      <w:pPr>
        <w:pStyle w:val="ListParagraph"/>
        <w:numPr>
          <w:ilvl w:val="0"/>
          <w:numId w:val="10"/>
        </w:numPr>
        <w:spacing w:after="0" w:line="240" w:lineRule="auto"/>
        <w:rPr>
          <w:color w:val="000000"/>
        </w:rPr>
      </w:pPr>
      <w:r w:rsidRPr="00F378BA">
        <w:rPr>
          <w:color w:val="000000"/>
        </w:rPr>
        <w:t>Thus solar and wind generation extrapolates by 2035 to an average of ~40% of existing NJ electric consumption.  But also needed is clean electric to power Electric Vehicles and Building Electrification as natural gas, propane and oil are replaced.</w:t>
      </w:r>
    </w:p>
    <w:p w14:paraId="3D9EB506" w14:textId="4ADF0512" w:rsidR="000C28E4" w:rsidRPr="00326DD9" w:rsidRDefault="000C28E4" w:rsidP="00B82AAE">
      <w:pPr>
        <w:pStyle w:val="ListParagraph"/>
        <w:numPr>
          <w:ilvl w:val="0"/>
          <w:numId w:val="10"/>
        </w:numPr>
        <w:spacing w:after="0" w:line="240" w:lineRule="auto"/>
        <w:rPr>
          <w:color w:val="000000"/>
        </w:rPr>
      </w:pPr>
      <w:r w:rsidRPr="00326DD9">
        <w:rPr>
          <w:color w:val="000000"/>
        </w:rPr>
        <w:t>Thus existing NJ wind and solar projections fall far short of anticipated need for renewable electric</w:t>
      </w:r>
      <w:r w:rsidR="00326DD9" w:rsidRPr="00326DD9">
        <w:rPr>
          <w:color w:val="000000"/>
        </w:rPr>
        <w:t xml:space="preserve">.  </w:t>
      </w:r>
      <w:r w:rsidRPr="00326DD9">
        <w:rPr>
          <w:color w:val="000000"/>
        </w:rPr>
        <w:t xml:space="preserve"> Far more needs to be done!</w:t>
      </w:r>
    </w:p>
    <w:p w14:paraId="124C1270" w14:textId="5BE81908" w:rsidR="000C28E4" w:rsidRDefault="000C28E4" w:rsidP="00326DD9">
      <w:pPr>
        <w:pStyle w:val="ListParagraph"/>
        <w:numPr>
          <w:ilvl w:val="0"/>
          <w:numId w:val="10"/>
        </w:numPr>
        <w:rPr>
          <w:color w:val="000000"/>
        </w:rPr>
      </w:pPr>
      <w:r w:rsidRPr="00EC2BD6">
        <w:rPr>
          <w:color w:val="000000"/>
        </w:rPr>
        <w:t>“The Biggest U.S. Electrical Grid Braces for Green Energy” (Bloomberg 8/10/21) regarding PJM pool to which NJ belongs.  Also see EIA data</w:t>
      </w:r>
    </w:p>
    <w:p w14:paraId="2C5F60BC" w14:textId="77777777" w:rsidR="00A17E43" w:rsidRDefault="00A17E43">
      <w:pPr>
        <w:rPr>
          <w:b/>
          <w:bCs/>
          <w:color w:val="000000"/>
          <w:sz w:val="28"/>
          <w:szCs w:val="28"/>
        </w:rPr>
      </w:pPr>
      <w:r>
        <w:rPr>
          <w:b/>
          <w:bCs/>
          <w:color w:val="000000"/>
          <w:sz w:val="28"/>
          <w:szCs w:val="28"/>
        </w:rPr>
        <w:br w:type="page"/>
      </w:r>
    </w:p>
    <w:p w14:paraId="0B6C021F" w14:textId="2BE9333C" w:rsidR="000C28E4" w:rsidRPr="008C5E71" w:rsidRDefault="000C28E4" w:rsidP="008C5E71">
      <w:pPr>
        <w:ind w:left="540"/>
        <w:rPr>
          <w:b/>
          <w:bCs/>
          <w:color w:val="000000"/>
          <w:sz w:val="28"/>
          <w:szCs w:val="28"/>
        </w:rPr>
      </w:pPr>
      <w:r w:rsidRPr="008C5E71">
        <w:rPr>
          <w:b/>
          <w:bCs/>
          <w:color w:val="000000"/>
          <w:sz w:val="28"/>
          <w:szCs w:val="28"/>
        </w:rPr>
        <w:lastRenderedPageBreak/>
        <w:t xml:space="preserve">100% Clean Electric </w:t>
      </w:r>
      <w:r>
        <w:rPr>
          <w:b/>
          <w:bCs/>
          <w:color w:val="000000"/>
          <w:sz w:val="28"/>
          <w:szCs w:val="28"/>
        </w:rPr>
        <w:t>– Action Items</w:t>
      </w:r>
    </w:p>
    <w:p w14:paraId="499A11EA" w14:textId="77777777" w:rsidR="000C28E4" w:rsidRPr="00283F56" w:rsidRDefault="000C28E4" w:rsidP="00C94ECA">
      <w:pPr>
        <w:pStyle w:val="ListParagraph"/>
        <w:numPr>
          <w:ilvl w:val="0"/>
          <w:numId w:val="10"/>
        </w:numPr>
        <w:spacing w:after="0" w:line="240" w:lineRule="auto"/>
        <w:ind w:left="1440" w:hanging="720"/>
        <w:rPr>
          <w:color w:val="000000"/>
        </w:rPr>
      </w:pPr>
      <w:r w:rsidRPr="00283F56">
        <w:rPr>
          <w:color w:val="000000"/>
        </w:rPr>
        <w:t xml:space="preserve">Ensure grid transport, capacity, peaking, backup, and resiliency </w:t>
      </w:r>
    </w:p>
    <w:p w14:paraId="36AE0FC1" w14:textId="77777777" w:rsidR="000C28E4" w:rsidRPr="00283F56" w:rsidRDefault="000C28E4" w:rsidP="00C94ECA">
      <w:pPr>
        <w:pStyle w:val="ListParagraph"/>
        <w:numPr>
          <w:ilvl w:val="0"/>
          <w:numId w:val="10"/>
        </w:numPr>
        <w:spacing w:after="0" w:line="240" w:lineRule="auto"/>
        <w:ind w:left="1440" w:hanging="720"/>
        <w:rPr>
          <w:color w:val="000000"/>
        </w:rPr>
      </w:pPr>
      <w:r w:rsidRPr="00283F56">
        <w:rPr>
          <w:color w:val="000000"/>
        </w:rPr>
        <w:t>Expand incentives for residential and business solar</w:t>
      </w:r>
    </w:p>
    <w:p w14:paraId="4E9F3F78" w14:textId="77777777" w:rsidR="000C28E4" w:rsidRPr="00283F56" w:rsidRDefault="000C28E4" w:rsidP="00C94ECA">
      <w:pPr>
        <w:pStyle w:val="ListParagraph"/>
        <w:numPr>
          <w:ilvl w:val="0"/>
          <w:numId w:val="10"/>
        </w:numPr>
        <w:spacing w:after="0" w:line="240" w:lineRule="auto"/>
        <w:ind w:left="1440" w:hanging="720"/>
        <w:rPr>
          <w:color w:val="000000"/>
        </w:rPr>
      </w:pPr>
      <w:r w:rsidRPr="00283F56">
        <w:rPr>
          <w:color w:val="000000"/>
        </w:rPr>
        <w:t>Expand incentives for community solar</w:t>
      </w:r>
    </w:p>
    <w:p w14:paraId="4E52CF10" w14:textId="77777777" w:rsidR="000C28E4" w:rsidRPr="00283F56" w:rsidRDefault="000C28E4" w:rsidP="00C94ECA">
      <w:pPr>
        <w:pStyle w:val="ListParagraph"/>
        <w:numPr>
          <w:ilvl w:val="0"/>
          <w:numId w:val="10"/>
        </w:numPr>
        <w:spacing w:after="0" w:line="240" w:lineRule="auto"/>
        <w:ind w:left="1440" w:hanging="720"/>
        <w:rPr>
          <w:color w:val="000000"/>
        </w:rPr>
      </w:pPr>
      <w:r w:rsidRPr="00283F56">
        <w:rPr>
          <w:color w:val="000000"/>
        </w:rPr>
        <w:t xml:space="preserve">Provide incentives for building </w:t>
      </w:r>
      <w:r w:rsidRPr="001D1D86">
        <w:rPr>
          <w:color w:val="000000"/>
        </w:rPr>
        <w:t xml:space="preserve">electric service renovation </w:t>
      </w:r>
      <w:r w:rsidRPr="00283F56">
        <w:rPr>
          <w:color w:val="000000"/>
        </w:rPr>
        <w:t>to support electric appliances and Electric Vehicles</w:t>
      </w:r>
    </w:p>
    <w:p w14:paraId="59DE64F0" w14:textId="77777777" w:rsidR="000C28E4" w:rsidRPr="00283F56" w:rsidRDefault="000C28E4" w:rsidP="00C94ECA">
      <w:pPr>
        <w:pStyle w:val="ListParagraph"/>
        <w:numPr>
          <w:ilvl w:val="0"/>
          <w:numId w:val="10"/>
        </w:numPr>
        <w:spacing w:after="0" w:line="240" w:lineRule="auto"/>
        <w:ind w:left="1440" w:hanging="720"/>
        <w:rPr>
          <w:color w:val="000000"/>
        </w:rPr>
      </w:pPr>
      <w:r w:rsidRPr="00283F56">
        <w:rPr>
          <w:color w:val="000000"/>
        </w:rPr>
        <w:t>Incentives for Electric Vehicle purchase</w:t>
      </w:r>
    </w:p>
    <w:p w14:paraId="43D33A02" w14:textId="77777777" w:rsidR="000C28E4" w:rsidRPr="00283F56" w:rsidRDefault="000C28E4" w:rsidP="00C94ECA">
      <w:pPr>
        <w:pStyle w:val="ListParagraph"/>
        <w:numPr>
          <w:ilvl w:val="0"/>
          <w:numId w:val="10"/>
        </w:numPr>
        <w:spacing w:after="0" w:line="240" w:lineRule="auto"/>
        <w:ind w:left="1440" w:hanging="720"/>
        <w:rPr>
          <w:color w:val="000000"/>
        </w:rPr>
      </w:pPr>
      <w:r w:rsidRPr="00283F56">
        <w:rPr>
          <w:color w:val="000000"/>
        </w:rPr>
        <w:t>Incentives for EV charger infrastructure including residential and business</w:t>
      </w:r>
    </w:p>
    <w:p w14:paraId="19652B02" w14:textId="77777777" w:rsidR="000C28E4" w:rsidRDefault="000C28E4" w:rsidP="00C94ECA">
      <w:pPr>
        <w:pStyle w:val="ListParagraph"/>
        <w:numPr>
          <w:ilvl w:val="0"/>
          <w:numId w:val="10"/>
        </w:numPr>
        <w:spacing w:after="0" w:line="240" w:lineRule="auto"/>
        <w:ind w:left="1440" w:hanging="720"/>
        <w:rPr>
          <w:color w:val="000000"/>
        </w:rPr>
      </w:pPr>
      <w:r w:rsidRPr="00283F56">
        <w:rPr>
          <w:color w:val="000000"/>
        </w:rPr>
        <w:t>Provide strong Building codes to support the above</w:t>
      </w:r>
    </w:p>
    <w:p w14:paraId="592F9BC1" w14:textId="77777777" w:rsidR="000C28E4" w:rsidRPr="003C149F" w:rsidRDefault="000C28E4" w:rsidP="00C94ECA">
      <w:pPr>
        <w:pStyle w:val="ListParagraph"/>
        <w:numPr>
          <w:ilvl w:val="0"/>
          <w:numId w:val="10"/>
        </w:numPr>
        <w:spacing w:after="0" w:line="240" w:lineRule="auto"/>
        <w:ind w:left="1440" w:hanging="720"/>
        <w:rPr>
          <w:color w:val="000000"/>
        </w:rPr>
      </w:pPr>
      <w:r w:rsidRPr="003C149F">
        <w:rPr>
          <w:color w:val="000000"/>
        </w:rPr>
        <w:t>See 2019 NJ Energy Master Plan for numerous heat pump references</w:t>
      </w:r>
    </w:p>
    <w:p w14:paraId="12772584" w14:textId="26CF4A8F" w:rsidR="000C28E4" w:rsidRDefault="000C28E4" w:rsidP="00C94ECA">
      <w:pPr>
        <w:pStyle w:val="ListParagraph"/>
        <w:numPr>
          <w:ilvl w:val="0"/>
          <w:numId w:val="10"/>
        </w:numPr>
        <w:spacing w:after="0" w:line="240" w:lineRule="auto"/>
        <w:ind w:left="1440" w:hanging="720"/>
        <w:rPr>
          <w:color w:val="000000"/>
        </w:rPr>
      </w:pPr>
      <w:r w:rsidRPr="00512E0B">
        <w:rPr>
          <w:color w:val="000000"/>
        </w:rPr>
        <w:t>Implement the 7/21/21 Petition Request to NJ DEP to implement 50% GHG reductions by 2030 from 2005 levels, including Clean Energy Portfolios to avoid fossil fuel infrastructure</w:t>
      </w:r>
      <w:r w:rsidR="00A17E43">
        <w:rPr>
          <w:color w:val="000000"/>
        </w:rPr>
        <w:t xml:space="preserve"> </w:t>
      </w:r>
      <w:r w:rsidR="00A17E43">
        <w:rPr>
          <w:rStyle w:val="FootnoteReference"/>
          <w:color w:val="000000"/>
        </w:rPr>
        <w:footnoteReference w:id="7"/>
      </w:r>
      <w:r w:rsidR="00752656">
        <w:rPr>
          <w:color w:val="000000"/>
        </w:rPr>
        <w:t xml:space="preserve"> . Here is NJ DEP denial of the petition. </w:t>
      </w:r>
      <w:r w:rsidR="00752656">
        <w:rPr>
          <w:rStyle w:val="FootnoteReference"/>
          <w:color w:val="000000"/>
        </w:rPr>
        <w:footnoteReference w:id="8"/>
      </w:r>
    </w:p>
    <w:p w14:paraId="77AA20FF" w14:textId="647D760F" w:rsidR="000C28E4" w:rsidRPr="00A17E43" w:rsidRDefault="000C28E4" w:rsidP="00095367">
      <w:pPr>
        <w:pStyle w:val="ListParagraph"/>
        <w:numPr>
          <w:ilvl w:val="0"/>
          <w:numId w:val="10"/>
        </w:numPr>
        <w:spacing w:after="0" w:line="240" w:lineRule="auto"/>
        <w:ind w:left="1440" w:hanging="720"/>
        <w:rPr>
          <w:color w:val="000000"/>
        </w:rPr>
      </w:pPr>
      <w:r w:rsidRPr="00A17E43">
        <w:rPr>
          <w:color w:val="000000"/>
        </w:rPr>
        <w:t>Fix the NJ Renewable Portfolio Standard</w:t>
      </w:r>
      <w:r w:rsidR="00A17E43" w:rsidRPr="00A17E43">
        <w:rPr>
          <w:color w:val="000000"/>
        </w:rPr>
        <w:t xml:space="preserve"> </w:t>
      </w:r>
      <w:r w:rsidR="00A17E43">
        <w:rPr>
          <w:rStyle w:val="FootnoteReference"/>
          <w:color w:val="000000"/>
        </w:rPr>
        <w:footnoteReference w:id="9"/>
      </w:r>
      <w:r w:rsidRPr="00A17E43">
        <w:rPr>
          <w:color w:val="000000"/>
        </w:rPr>
        <w:t xml:space="preserve"> for electricity so it gets to 100% by 2035. Currently, it terminates at 50% for the years 2030 to 2033, thus falling far short.</w:t>
      </w:r>
    </w:p>
    <w:p w14:paraId="54C0D69D" w14:textId="77777777" w:rsidR="000C28E4" w:rsidRDefault="000C28E4" w:rsidP="00C94ECA">
      <w:pPr>
        <w:pStyle w:val="ListParagraph"/>
        <w:numPr>
          <w:ilvl w:val="0"/>
          <w:numId w:val="10"/>
        </w:numPr>
        <w:spacing w:after="0" w:line="240" w:lineRule="auto"/>
        <w:ind w:left="1440" w:hanging="720"/>
        <w:rPr>
          <w:color w:val="000000"/>
        </w:rPr>
      </w:pPr>
      <w:r w:rsidRPr="00512E0B">
        <w:rPr>
          <w:color w:val="000000"/>
        </w:rPr>
        <w:t xml:space="preserve">Strengthen NJ RGEA (Renewable Government Energy Aggregation).  Currently there is only small participation.  Municipalities and counties need stronger incentives for RGEA.  Provide strong NJ state central administrative support and contracting, instead of relying on 565 NJ municipalities to provide their own.  </w:t>
      </w:r>
    </w:p>
    <w:p w14:paraId="04F6282B" w14:textId="77777777" w:rsidR="000C28E4" w:rsidRDefault="000C28E4" w:rsidP="00C94ECA">
      <w:pPr>
        <w:pStyle w:val="ListParagraph"/>
        <w:numPr>
          <w:ilvl w:val="0"/>
          <w:numId w:val="10"/>
        </w:numPr>
        <w:spacing w:after="0" w:line="240" w:lineRule="auto"/>
        <w:ind w:left="1440" w:hanging="720"/>
        <w:rPr>
          <w:color w:val="000000"/>
        </w:rPr>
      </w:pPr>
      <w:r w:rsidRPr="00512E0B">
        <w:rPr>
          <w:color w:val="000000"/>
        </w:rPr>
        <w:t>Offer a state wide customer RGEA option.</w:t>
      </w:r>
    </w:p>
    <w:p w14:paraId="726FB902" w14:textId="751EF0F9" w:rsidR="000C28E4" w:rsidRPr="003C149F" w:rsidRDefault="000C28E4" w:rsidP="00C94ECA">
      <w:pPr>
        <w:pStyle w:val="ListParagraph"/>
        <w:numPr>
          <w:ilvl w:val="0"/>
          <w:numId w:val="10"/>
        </w:numPr>
        <w:spacing w:after="0" w:line="240" w:lineRule="auto"/>
        <w:ind w:left="1440" w:hanging="720"/>
        <w:rPr>
          <w:color w:val="000000"/>
        </w:rPr>
      </w:pPr>
      <w:r w:rsidRPr="003C149F">
        <w:rPr>
          <w:color w:val="000000"/>
        </w:rPr>
        <w:t xml:space="preserve">Implement a PJM-wide or New Jersey-only Integrated Clean Capacity Market (ICCM).  Review report by NJ BPU staff: </w:t>
      </w:r>
      <w:r w:rsidR="00A17E43">
        <w:rPr>
          <w:rStyle w:val="FootnoteReference"/>
          <w:color w:val="000000"/>
        </w:rPr>
        <w:footnoteReference w:id="10"/>
      </w:r>
    </w:p>
    <w:p w14:paraId="43197531" w14:textId="01723600" w:rsidR="000C28E4" w:rsidRPr="00512E0B" w:rsidRDefault="000C28E4" w:rsidP="000C28E4">
      <w:pPr>
        <w:pStyle w:val="ListParagraph"/>
        <w:numPr>
          <w:ilvl w:val="0"/>
          <w:numId w:val="11"/>
        </w:numPr>
        <w:spacing w:after="0" w:line="240" w:lineRule="auto"/>
        <w:rPr>
          <w:color w:val="000000"/>
        </w:rPr>
      </w:pPr>
      <w:r w:rsidRPr="00512E0B">
        <w:rPr>
          <w:color w:val="000000"/>
        </w:rPr>
        <w:t>92% Clean Energy can be achieved by 2030 ( Figure 15, page 48</w:t>
      </w:r>
      <w:r>
        <w:rPr>
          <w:color w:val="000000"/>
        </w:rPr>
        <w:t>, copied below</w:t>
      </w:r>
      <w:r w:rsidRPr="00512E0B">
        <w:rPr>
          <w:color w:val="000000"/>
        </w:rPr>
        <w:t>)</w:t>
      </w:r>
    </w:p>
    <w:p w14:paraId="0FF1DCAC" w14:textId="481BC2DB" w:rsidR="000C28E4" w:rsidRPr="008A1589" w:rsidRDefault="000C28E4" w:rsidP="008A1589">
      <w:pPr>
        <w:ind w:left="540"/>
        <w:rPr>
          <w:color w:val="000000"/>
        </w:rPr>
      </w:pPr>
      <w:r w:rsidRPr="00512E0B">
        <w:rPr>
          <w:color w:val="000000"/>
        </w:rPr>
        <w:t xml:space="preserve">“achieving 90%+ percent of clean energy can be achieved at modest costs through a PJM-wide or New Jersey-only ICCM approach to resource adequacy”  </w:t>
      </w:r>
      <w:r w:rsidR="00C45F32">
        <w:rPr>
          <w:color w:val="000000"/>
        </w:rPr>
        <w:t>(</w:t>
      </w:r>
      <w:r w:rsidRPr="00512E0B">
        <w:rPr>
          <w:color w:val="000000"/>
        </w:rPr>
        <w:t>Page 5)</w:t>
      </w:r>
      <w:r w:rsidR="00E11A6D">
        <w:rPr>
          <w:color w:val="000000"/>
        </w:rPr>
        <w:t xml:space="preserve">  </w:t>
      </w:r>
      <w:r w:rsidR="00E11A6D" w:rsidRPr="00EC0B79">
        <w:rPr>
          <w:color w:val="000000"/>
        </w:rPr>
        <w:t>NJ BPU Report June 2021</w:t>
      </w:r>
      <w:r w:rsidR="00E11A6D">
        <w:rPr>
          <w:color w:val="000000"/>
        </w:rPr>
        <w:br/>
      </w:r>
      <w:r w:rsidR="00E11A6D">
        <w:rPr>
          <w:noProof/>
        </w:rPr>
        <w:drawing>
          <wp:inline distT="0" distB="0" distL="0" distR="0" wp14:anchorId="4AD20FCE" wp14:editId="6B188A00">
            <wp:extent cx="5486400" cy="2545715"/>
            <wp:effectExtent l="0" t="0" r="0" b="6985"/>
            <wp:docPr id="5" name="Picture 103"/>
            <wp:cNvGraphicFramePr/>
            <a:graphic xmlns:a="http://schemas.openxmlformats.org/drawingml/2006/main">
              <a:graphicData uri="http://schemas.openxmlformats.org/drawingml/2006/picture">
                <pic:pic xmlns:pic="http://schemas.openxmlformats.org/drawingml/2006/picture">
                  <pic:nvPicPr>
                    <pic:cNvPr id="104" name="Picture 103"/>
                    <pic:cNvPicPr/>
                  </pic:nvPicPr>
                  <pic:blipFill>
                    <a:blip r:embed="rId20"/>
                    <a:stretch/>
                  </pic:blipFill>
                  <pic:spPr>
                    <a:xfrm>
                      <a:off x="0" y="0"/>
                      <a:ext cx="5486400" cy="2545715"/>
                    </a:xfrm>
                    <a:prstGeom prst="rect">
                      <a:avLst/>
                    </a:prstGeom>
                    <a:ln w="0">
                      <a:noFill/>
                    </a:ln>
                  </pic:spPr>
                </pic:pic>
              </a:graphicData>
            </a:graphic>
          </wp:inline>
        </w:drawing>
      </w:r>
    </w:p>
    <w:p w14:paraId="67E06F9D" w14:textId="6C0F3A13" w:rsidR="000C28E4" w:rsidRDefault="000C28E4" w:rsidP="008A1589">
      <w:pPr>
        <w:spacing w:after="0" w:line="240" w:lineRule="auto"/>
        <w:rPr>
          <w:color w:val="000000"/>
        </w:rPr>
      </w:pPr>
      <w:r>
        <w:rPr>
          <w:rFonts w:ascii="Arial" w:eastAsia="DejaVu Sans" w:hAnsi="Arial" w:cs="DejaVu Sans"/>
          <w:color w:val="000000"/>
          <w:kern w:val="24"/>
        </w:rPr>
        <w:br w:type="page"/>
      </w:r>
      <w:r w:rsidRPr="003C149F">
        <w:rPr>
          <w:color w:val="000000"/>
        </w:rPr>
        <w:lastRenderedPageBreak/>
        <w:t>Develop a carbon reduction model (</w:t>
      </w:r>
      <w:r>
        <w:rPr>
          <w:color w:val="000000"/>
        </w:rPr>
        <w:t>view this unsupported</w:t>
      </w:r>
      <w:r w:rsidRPr="003C149F">
        <w:rPr>
          <w:color w:val="000000"/>
        </w:rPr>
        <w:t xml:space="preserve"> example) </w:t>
      </w:r>
    </w:p>
    <w:p w14:paraId="2826C123" w14:textId="77777777" w:rsidR="000C28E4" w:rsidRPr="003354A1" w:rsidRDefault="000C28E4" w:rsidP="002B4BCC">
      <w:pPr>
        <w:rPr>
          <w:color w:val="000000"/>
        </w:rPr>
      </w:pPr>
      <w:r>
        <w:rPr>
          <w:noProof/>
        </w:rPr>
        <w:drawing>
          <wp:inline distT="0" distB="0" distL="0" distR="0" wp14:anchorId="5B385F1A" wp14:editId="1CA53F84">
            <wp:extent cx="6858000" cy="38557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0C28E4" w:rsidRPr="003354A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A0A3" w14:textId="77777777" w:rsidR="006828A0" w:rsidRDefault="006828A0" w:rsidP="001776FC">
      <w:pPr>
        <w:spacing w:after="0" w:line="240" w:lineRule="auto"/>
      </w:pPr>
      <w:r>
        <w:separator/>
      </w:r>
    </w:p>
  </w:endnote>
  <w:endnote w:type="continuationSeparator" w:id="0">
    <w:p w14:paraId="4D6058DC" w14:textId="77777777" w:rsidR="006828A0" w:rsidRDefault="006828A0" w:rsidP="001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93378"/>
      <w:docPartObj>
        <w:docPartGallery w:val="Page Numbers (Bottom of Page)"/>
        <w:docPartUnique/>
      </w:docPartObj>
    </w:sdtPr>
    <w:sdtEndPr>
      <w:rPr>
        <w:noProof/>
      </w:rPr>
    </w:sdtEndPr>
    <w:sdtContent>
      <w:p w14:paraId="2592DD62" w14:textId="56F37881" w:rsidR="00DB754D" w:rsidRDefault="00DB7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87DFC" w14:textId="77777777" w:rsidR="00DB754D" w:rsidRDefault="00DB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BA77" w14:textId="77777777" w:rsidR="006828A0" w:rsidRDefault="006828A0" w:rsidP="001776FC">
      <w:pPr>
        <w:spacing w:after="0" w:line="240" w:lineRule="auto"/>
      </w:pPr>
      <w:r>
        <w:separator/>
      </w:r>
    </w:p>
  </w:footnote>
  <w:footnote w:type="continuationSeparator" w:id="0">
    <w:p w14:paraId="5D249015" w14:textId="77777777" w:rsidR="006828A0" w:rsidRDefault="006828A0" w:rsidP="001776FC">
      <w:pPr>
        <w:spacing w:after="0" w:line="240" w:lineRule="auto"/>
      </w:pPr>
      <w:r>
        <w:continuationSeparator/>
      </w:r>
    </w:p>
  </w:footnote>
  <w:footnote w:id="1">
    <w:p w14:paraId="1BF3AF45" w14:textId="0BF159A8" w:rsidR="000C28E4" w:rsidRDefault="000C28E4">
      <w:pPr>
        <w:pStyle w:val="FootnoteText"/>
      </w:pPr>
      <w:r>
        <w:rPr>
          <w:rStyle w:val="FootnoteReference"/>
        </w:rPr>
        <w:footnoteRef/>
      </w:r>
      <w:r>
        <w:t xml:space="preserve"> </w:t>
      </w:r>
      <w:r w:rsidRPr="000C28E4">
        <w:t>Net Zero Carbon buildings can be new, or remodeled, and have implemented efficiency and design strategies to ensure they can produce on-site, or procure, enough carbon-free renewable energy to meet annual energy consumption of building operations.  In addition, the BE team will consider new net zero carbon standards, being adopted world-wide, which also evaluate the net embodied carbon from building construction and life-cycle reuse of the building components.</w:t>
      </w:r>
    </w:p>
  </w:footnote>
  <w:footnote w:id="2">
    <w:p w14:paraId="71F130D3" w14:textId="520F7A7D" w:rsidR="00BE337B" w:rsidRDefault="00BE337B">
      <w:pPr>
        <w:pStyle w:val="FootnoteText"/>
      </w:pPr>
      <w:r>
        <w:rPr>
          <w:rStyle w:val="FootnoteReference"/>
        </w:rPr>
        <w:footnoteRef/>
      </w:r>
      <w:r>
        <w:t xml:space="preserve"> </w:t>
      </w:r>
      <w:r w:rsidRPr="00F378BA">
        <w:rPr>
          <w:color w:val="000000"/>
        </w:rPr>
        <w:t>Terawatt hours Based on EIA NJ May 2021 projected annually</w:t>
      </w:r>
    </w:p>
  </w:footnote>
  <w:footnote w:id="3">
    <w:p w14:paraId="08AD8263" w14:textId="2BB68652" w:rsidR="00BE337B" w:rsidRPr="00BE337B" w:rsidRDefault="00BE337B">
      <w:pPr>
        <w:pStyle w:val="FootnoteText"/>
        <w:rPr>
          <w:color w:val="0000FF"/>
          <w:u w:val="single"/>
        </w:rPr>
      </w:pPr>
      <w:r>
        <w:rPr>
          <w:rStyle w:val="FootnoteReference"/>
        </w:rPr>
        <w:footnoteRef/>
      </w:r>
      <w:r>
        <w:t xml:space="preserve"> </w:t>
      </w:r>
      <w:hyperlink r:id="rId1" w:history="1">
        <w:r w:rsidRPr="002736AB">
          <w:rPr>
            <w:rStyle w:val="Hyperlink"/>
          </w:rPr>
          <w:t>https://www.njcleanenergy.com/renewable-energy/programs/nj-offshore-wind</w:t>
        </w:r>
      </w:hyperlink>
    </w:p>
  </w:footnote>
  <w:footnote w:id="4">
    <w:p w14:paraId="1CDD710E" w14:textId="40A33186" w:rsidR="00BE337B" w:rsidRDefault="00BE337B" w:rsidP="00326DD9">
      <w:pPr>
        <w:pStyle w:val="ListParagraph"/>
        <w:ind w:left="0"/>
      </w:pPr>
      <w:r>
        <w:rPr>
          <w:rStyle w:val="FootnoteReference"/>
        </w:rPr>
        <w:footnoteRef/>
      </w:r>
      <w:r>
        <w:t xml:space="preserve"> </w:t>
      </w:r>
      <w:r w:rsidRPr="00F378BA">
        <w:rPr>
          <w:color w:val="000000"/>
        </w:rPr>
        <w:t xml:space="preserve"> Wind estimated at 16.4 TWH annually on assumption of 25% power generation for 24 hours based on </w:t>
      </w:r>
      <w:hyperlink r:id="rId2" w:history="1">
        <w:r w:rsidRPr="00F378BA">
          <w:rPr>
            <w:rStyle w:val="Hyperlink"/>
          </w:rPr>
          <w:t>https://www.totemcontracting.com/how-much-energy-do-wind-turbines-produce/</w:t>
        </w:r>
      </w:hyperlink>
      <w:r w:rsidR="00326DD9">
        <w:rPr>
          <w:rStyle w:val="Hyperlink"/>
        </w:rPr>
        <w:t xml:space="preserve"> </w:t>
      </w:r>
    </w:p>
  </w:footnote>
  <w:footnote w:id="5">
    <w:p w14:paraId="2A94D9AA" w14:textId="2006D196" w:rsidR="00326DD9" w:rsidRDefault="00326DD9">
      <w:pPr>
        <w:pStyle w:val="FootnoteText"/>
      </w:pPr>
      <w:r>
        <w:rPr>
          <w:rStyle w:val="FootnoteReference"/>
        </w:rPr>
        <w:footnoteRef/>
      </w:r>
      <w:r>
        <w:t xml:space="preserve"> </w:t>
      </w:r>
      <w:hyperlink r:id="rId3" w:history="1">
        <w:r w:rsidRPr="00F378BA">
          <w:rPr>
            <w:rStyle w:val="Hyperlink"/>
          </w:rPr>
          <w:t>https://en.wikipedia.org/wiki/Solar_power_in_New_Jersey</w:t>
        </w:r>
      </w:hyperlink>
    </w:p>
  </w:footnote>
  <w:footnote w:id="6">
    <w:p w14:paraId="65E1534B" w14:textId="5330B553" w:rsidR="00326DD9" w:rsidRDefault="00326DD9">
      <w:pPr>
        <w:pStyle w:val="FootnoteText"/>
      </w:pPr>
      <w:r>
        <w:rPr>
          <w:rStyle w:val="FootnoteReference"/>
        </w:rPr>
        <w:footnoteRef/>
      </w:r>
      <w:r>
        <w:t xml:space="preserve"> </w:t>
      </w:r>
      <w:r w:rsidRPr="00F378BA">
        <w:rPr>
          <w:color w:val="000000"/>
        </w:rPr>
        <w:t xml:space="preserve">7/29/21 </w:t>
      </w:r>
      <w:hyperlink r:id="rId4" w:history="1">
        <w:r w:rsidRPr="002736AB">
          <w:rPr>
            <w:rStyle w:val="Hyperlink"/>
          </w:rPr>
          <w:t>https://www.njspotlight.com/2021/07/nj-solar-sector-new-development-incentives-adopted-target-rapid-increase/</w:t>
        </w:r>
      </w:hyperlink>
    </w:p>
  </w:footnote>
  <w:footnote w:id="7">
    <w:p w14:paraId="60BBB51A" w14:textId="196E092A" w:rsidR="00A17E43" w:rsidRDefault="00A17E43">
      <w:pPr>
        <w:pStyle w:val="FootnoteText"/>
      </w:pPr>
      <w:r>
        <w:rPr>
          <w:rStyle w:val="FootnoteReference"/>
        </w:rPr>
        <w:footnoteRef/>
      </w:r>
      <w:r>
        <w:t xml:space="preserve"> </w:t>
      </w:r>
      <w:hyperlink r:id="rId5" w:history="1">
        <w:r w:rsidRPr="00A80CD3">
          <w:rPr>
            <w:rStyle w:val="Hyperlink"/>
          </w:rPr>
          <w:t>https://www.nj.gov/dep/rules/petition/pet20210721.pdf</w:t>
        </w:r>
      </w:hyperlink>
    </w:p>
  </w:footnote>
  <w:footnote w:id="8">
    <w:p w14:paraId="796C0585" w14:textId="7BCD853D" w:rsidR="00752656" w:rsidRDefault="00752656">
      <w:pPr>
        <w:pStyle w:val="FootnoteText"/>
      </w:pPr>
      <w:r>
        <w:rPr>
          <w:rStyle w:val="FootnoteReference"/>
        </w:rPr>
        <w:footnoteRef/>
      </w:r>
      <w:r>
        <w:t xml:space="preserve"> </w:t>
      </w:r>
      <w:r w:rsidRPr="00752656">
        <w:t>https://www.nj.gov/dep/rules/petition/pet20210721noa.pdf</w:t>
      </w:r>
    </w:p>
  </w:footnote>
  <w:footnote w:id="9">
    <w:p w14:paraId="6BC6C28C" w14:textId="49E1BE62" w:rsidR="00A17E43" w:rsidRDefault="00A17E43">
      <w:pPr>
        <w:pStyle w:val="FootnoteText"/>
      </w:pPr>
      <w:r>
        <w:rPr>
          <w:rStyle w:val="FootnoteReference"/>
        </w:rPr>
        <w:footnoteRef/>
      </w:r>
      <w:r>
        <w:t xml:space="preserve"> </w:t>
      </w:r>
      <w:hyperlink r:id="rId6" w:history="1">
        <w:r w:rsidRPr="00A80CD3">
          <w:rPr>
            <w:rStyle w:val="Hyperlink"/>
          </w:rPr>
          <w:t>https://www.state.nj.us/oal/rules/accessp/</w:t>
        </w:r>
      </w:hyperlink>
    </w:p>
  </w:footnote>
  <w:footnote w:id="10">
    <w:p w14:paraId="2B38BBBA" w14:textId="0E196E9E" w:rsidR="00C45F32" w:rsidRPr="00C45F32" w:rsidRDefault="00A17E43">
      <w:pPr>
        <w:pStyle w:val="FootnoteText"/>
        <w:rPr>
          <w:color w:val="000000"/>
        </w:rPr>
      </w:pPr>
      <w:r>
        <w:rPr>
          <w:rStyle w:val="FootnoteReference"/>
        </w:rPr>
        <w:footnoteRef/>
      </w:r>
      <w:r>
        <w:t xml:space="preserve"> </w:t>
      </w:r>
      <w:r w:rsidRPr="00A80CD3">
        <w:rPr>
          <w:color w:val="000000"/>
        </w:rPr>
        <w:t xml:space="preserve"> “Alternative Resource Adequacy Structures for New Jersey”, NJ BPU report, June 2021.  See page 5, and also, Figure 15 page 48</w:t>
      </w:r>
      <w:r w:rsidR="00C45F32">
        <w:rPr>
          <w:color w:val="000000"/>
        </w:rPr>
        <w:t xml:space="preserve"> </w:t>
      </w:r>
      <w:hyperlink r:id="rId7" w:history="1">
        <w:r w:rsidR="00C45F32" w:rsidRPr="008D1F04">
          <w:rPr>
            <w:rStyle w:val="Hyperlink"/>
          </w:rPr>
          <w:t>https://nj.gov/bpu/pdf/reports/NJ%20BPU%20RA%20Investigation%20%28Final%29.pdf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995"/>
    <w:multiLevelType w:val="hybridMultilevel"/>
    <w:tmpl w:val="D6E6D1EA"/>
    <w:lvl w:ilvl="0" w:tplc="04090001">
      <w:start w:val="1"/>
      <w:numFmt w:val="bullet"/>
      <w:lvlText w:val=""/>
      <w:lvlJc w:val="left"/>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D91DB7"/>
    <w:multiLevelType w:val="hybridMultilevel"/>
    <w:tmpl w:val="6D523C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CC972AC"/>
    <w:multiLevelType w:val="hybridMultilevel"/>
    <w:tmpl w:val="101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3350F"/>
    <w:multiLevelType w:val="hybridMultilevel"/>
    <w:tmpl w:val="66E4D37C"/>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07E15"/>
    <w:multiLevelType w:val="hybridMultilevel"/>
    <w:tmpl w:val="7AC6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17F80"/>
    <w:multiLevelType w:val="hybridMultilevel"/>
    <w:tmpl w:val="32763004"/>
    <w:lvl w:ilvl="0" w:tplc="874E1AC2">
      <w:start w:val="1"/>
      <w:numFmt w:val="bullet"/>
      <w:lvlText w:val=""/>
      <w:lvlJc w:val="left"/>
      <w:pPr>
        <w:tabs>
          <w:tab w:val="num" w:pos="720"/>
        </w:tabs>
        <w:ind w:left="720" w:hanging="360"/>
      </w:pPr>
      <w:rPr>
        <w:rFonts w:ascii="Wingdings" w:hAnsi="Wingdings" w:hint="default"/>
      </w:rPr>
    </w:lvl>
    <w:lvl w:ilvl="1" w:tplc="CF14E40E" w:tentative="1">
      <w:start w:val="1"/>
      <w:numFmt w:val="bullet"/>
      <w:lvlText w:val=""/>
      <w:lvlJc w:val="left"/>
      <w:pPr>
        <w:tabs>
          <w:tab w:val="num" w:pos="1440"/>
        </w:tabs>
        <w:ind w:left="1440" w:hanging="360"/>
      </w:pPr>
      <w:rPr>
        <w:rFonts w:ascii="Wingdings" w:hAnsi="Wingdings" w:hint="default"/>
      </w:rPr>
    </w:lvl>
    <w:lvl w:ilvl="2" w:tplc="A51EDE2A" w:tentative="1">
      <w:start w:val="1"/>
      <w:numFmt w:val="bullet"/>
      <w:lvlText w:val=""/>
      <w:lvlJc w:val="left"/>
      <w:pPr>
        <w:tabs>
          <w:tab w:val="num" w:pos="2160"/>
        </w:tabs>
        <w:ind w:left="2160" w:hanging="360"/>
      </w:pPr>
      <w:rPr>
        <w:rFonts w:ascii="Wingdings" w:hAnsi="Wingdings" w:hint="default"/>
      </w:rPr>
    </w:lvl>
    <w:lvl w:ilvl="3" w:tplc="6FFEFCFC" w:tentative="1">
      <w:start w:val="1"/>
      <w:numFmt w:val="bullet"/>
      <w:lvlText w:val=""/>
      <w:lvlJc w:val="left"/>
      <w:pPr>
        <w:tabs>
          <w:tab w:val="num" w:pos="2880"/>
        </w:tabs>
        <w:ind w:left="2880" w:hanging="360"/>
      </w:pPr>
      <w:rPr>
        <w:rFonts w:ascii="Wingdings" w:hAnsi="Wingdings" w:hint="default"/>
      </w:rPr>
    </w:lvl>
    <w:lvl w:ilvl="4" w:tplc="18E0C17E" w:tentative="1">
      <w:start w:val="1"/>
      <w:numFmt w:val="bullet"/>
      <w:lvlText w:val=""/>
      <w:lvlJc w:val="left"/>
      <w:pPr>
        <w:tabs>
          <w:tab w:val="num" w:pos="3600"/>
        </w:tabs>
        <w:ind w:left="3600" w:hanging="360"/>
      </w:pPr>
      <w:rPr>
        <w:rFonts w:ascii="Wingdings" w:hAnsi="Wingdings" w:hint="default"/>
      </w:rPr>
    </w:lvl>
    <w:lvl w:ilvl="5" w:tplc="9E188816" w:tentative="1">
      <w:start w:val="1"/>
      <w:numFmt w:val="bullet"/>
      <w:lvlText w:val=""/>
      <w:lvlJc w:val="left"/>
      <w:pPr>
        <w:tabs>
          <w:tab w:val="num" w:pos="4320"/>
        </w:tabs>
        <w:ind w:left="4320" w:hanging="360"/>
      </w:pPr>
      <w:rPr>
        <w:rFonts w:ascii="Wingdings" w:hAnsi="Wingdings" w:hint="default"/>
      </w:rPr>
    </w:lvl>
    <w:lvl w:ilvl="6" w:tplc="43104F3A" w:tentative="1">
      <w:start w:val="1"/>
      <w:numFmt w:val="bullet"/>
      <w:lvlText w:val=""/>
      <w:lvlJc w:val="left"/>
      <w:pPr>
        <w:tabs>
          <w:tab w:val="num" w:pos="5040"/>
        </w:tabs>
        <w:ind w:left="5040" w:hanging="360"/>
      </w:pPr>
      <w:rPr>
        <w:rFonts w:ascii="Wingdings" w:hAnsi="Wingdings" w:hint="default"/>
      </w:rPr>
    </w:lvl>
    <w:lvl w:ilvl="7" w:tplc="D5BE5618" w:tentative="1">
      <w:start w:val="1"/>
      <w:numFmt w:val="bullet"/>
      <w:lvlText w:val=""/>
      <w:lvlJc w:val="left"/>
      <w:pPr>
        <w:tabs>
          <w:tab w:val="num" w:pos="5760"/>
        </w:tabs>
        <w:ind w:left="5760" w:hanging="360"/>
      </w:pPr>
      <w:rPr>
        <w:rFonts w:ascii="Wingdings" w:hAnsi="Wingdings" w:hint="default"/>
      </w:rPr>
    </w:lvl>
    <w:lvl w:ilvl="8" w:tplc="55AAC7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3062C"/>
    <w:multiLevelType w:val="hybridMultilevel"/>
    <w:tmpl w:val="7F2085DC"/>
    <w:lvl w:ilvl="0" w:tplc="F9E68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35A89"/>
    <w:multiLevelType w:val="hybridMultilevel"/>
    <w:tmpl w:val="D05E5268"/>
    <w:lvl w:ilvl="0" w:tplc="79B22960">
      <w:start w:val="1"/>
      <w:numFmt w:val="decimal"/>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2E69BF"/>
    <w:multiLevelType w:val="hybridMultilevel"/>
    <w:tmpl w:val="3868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12B89"/>
    <w:multiLevelType w:val="hybridMultilevel"/>
    <w:tmpl w:val="DB62E094"/>
    <w:lvl w:ilvl="0" w:tplc="79B22960">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3C52CF"/>
    <w:multiLevelType w:val="hybridMultilevel"/>
    <w:tmpl w:val="BA143FCE"/>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C4DCBD30">
      <w:start w:val="1"/>
      <w:numFmt w:val="bullet"/>
      <w:lvlText w:val=""/>
      <w:lvlJc w:val="left"/>
      <w:pPr>
        <w:tabs>
          <w:tab w:val="num" w:pos="3600"/>
        </w:tabs>
        <w:ind w:left="3600" w:hanging="360"/>
      </w:pPr>
      <w:rPr>
        <w:rFonts w:ascii="Wingdings" w:hAnsi="Wingdings" w:hint="default"/>
      </w:rPr>
    </w:lvl>
    <w:lvl w:ilvl="5" w:tplc="674AF334" w:tentative="1">
      <w:start w:val="1"/>
      <w:numFmt w:val="bullet"/>
      <w:lvlText w:val=""/>
      <w:lvlJc w:val="left"/>
      <w:pPr>
        <w:tabs>
          <w:tab w:val="num" w:pos="4320"/>
        </w:tabs>
        <w:ind w:left="4320" w:hanging="360"/>
      </w:pPr>
      <w:rPr>
        <w:rFonts w:ascii="Wingdings" w:hAnsi="Wingdings" w:hint="default"/>
      </w:rPr>
    </w:lvl>
    <w:lvl w:ilvl="6" w:tplc="A454ACA6" w:tentative="1">
      <w:start w:val="1"/>
      <w:numFmt w:val="bullet"/>
      <w:lvlText w:val=""/>
      <w:lvlJc w:val="left"/>
      <w:pPr>
        <w:tabs>
          <w:tab w:val="num" w:pos="5040"/>
        </w:tabs>
        <w:ind w:left="5040" w:hanging="360"/>
      </w:pPr>
      <w:rPr>
        <w:rFonts w:ascii="Wingdings" w:hAnsi="Wingdings" w:hint="default"/>
      </w:rPr>
    </w:lvl>
    <w:lvl w:ilvl="7" w:tplc="04AA5632" w:tentative="1">
      <w:start w:val="1"/>
      <w:numFmt w:val="bullet"/>
      <w:lvlText w:val=""/>
      <w:lvlJc w:val="left"/>
      <w:pPr>
        <w:tabs>
          <w:tab w:val="num" w:pos="5760"/>
        </w:tabs>
        <w:ind w:left="5760" w:hanging="360"/>
      </w:pPr>
      <w:rPr>
        <w:rFonts w:ascii="Wingdings" w:hAnsi="Wingdings" w:hint="default"/>
      </w:rPr>
    </w:lvl>
    <w:lvl w:ilvl="8" w:tplc="12CA55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072BB"/>
    <w:multiLevelType w:val="hybridMultilevel"/>
    <w:tmpl w:val="91CE018C"/>
    <w:lvl w:ilvl="0" w:tplc="79B22960">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3"/>
  </w:num>
  <w:num w:numId="4">
    <w:abstractNumId w:val="9"/>
  </w:num>
  <w:num w:numId="5">
    <w:abstractNumId w:val="11"/>
  </w:num>
  <w:num w:numId="6">
    <w:abstractNumId w:val="7"/>
  </w:num>
  <w:num w:numId="7">
    <w:abstractNumId w:val="2"/>
  </w:num>
  <w:num w:numId="8">
    <w:abstractNumId w:val="5"/>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1E"/>
    <w:rsid w:val="00003EC3"/>
    <w:rsid w:val="00010BBD"/>
    <w:rsid w:val="0001495B"/>
    <w:rsid w:val="00015272"/>
    <w:rsid w:val="0002430E"/>
    <w:rsid w:val="0003229A"/>
    <w:rsid w:val="00041DE5"/>
    <w:rsid w:val="0005786B"/>
    <w:rsid w:val="00057EA2"/>
    <w:rsid w:val="0006180E"/>
    <w:rsid w:val="000643C3"/>
    <w:rsid w:val="00064BF2"/>
    <w:rsid w:val="00065002"/>
    <w:rsid w:val="0008367D"/>
    <w:rsid w:val="000908C5"/>
    <w:rsid w:val="00094D95"/>
    <w:rsid w:val="000A1EFA"/>
    <w:rsid w:val="000A42CD"/>
    <w:rsid w:val="000B3A33"/>
    <w:rsid w:val="000C28E4"/>
    <w:rsid w:val="000D3A69"/>
    <w:rsid w:val="000D7509"/>
    <w:rsid w:val="000D7A57"/>
    <w:rsid w:val="000E01C9"/>
    <w:rsid w:val="000E7782"/>
    <w:rsid w:val="000F53F1"/>
    <w:rsid w:val="000F73AD"/>
    <w:rsid w:val="0012314A"/>
    <w:rsid w:val="0013369C"/>
    <w:rsid w:val="001506DB"/>
    <w:rsid w:val="00157B21"/>
    <w:rsid w:val="001751B7"/>
    <w:rsid w:val="001776FC"/>
    <w:rsid w:val="00190FBC"/>
    <w:rsid w:val="001A443B"/>
    <w:rsid w:val="001A51F2"/>
    <w:rsid w:val="001B73C8"/>
    <w:rsid w:val="001C2C6A"/>
    <w:rsid w:val="001D7493"/>
    <w:rsid w:val="001E1783"/>
    <w:rsid w:val="001E5582"/>
    <w:rsid w:val="0020232B"/>
    <w:rsid w:val="002043B6"/>
    <w:rsid w:val="002053CB"/>
    <w:rsid w:val="00214284"/>
    <w:rsid w:val="00232357"/>
    <w:rsid w:val="002347F2"/>
    <w:rsid w:val="00234E4E"/>
    <w:rsid w:val="00252D3A"/>
    <w:rsid w:val="00252EF6"/>
    <w:rsid w:val="00253DB0"/>
    <w:rsid w:val="00255EBA"/>
    <w:rsid w:val="0026351C"/>
    <w:rsid w:val="00270D89"/>
    <w:rsid w:val="00273936"/>
    <w:rsid w:val="00283918"/>
    <w:rsid w:val="00286E09"/>
    <w:rsid w:val="002912FA"/>
    <w:rsid w:val="002B2BBF"/>
    <w:rsid w:val="002C3FAC"/>
    <w:rsid w:val="002C5257"/>
    <w:rsid w:val="002C79F8"/>
    <w:rsid w:val="002D3B17"/>
    <w:rsid w:val="002E5AD0"/>
    <w:rsid w:val="002F6DBF"/>
    <w:rsid w:val="00302E66"/>
    <w:rsid w:val="00310C09"/>
    <w:rsid w:val="00312455"/>
    <w:rsid w:val="00317360"/>
    <w:rsid w:val="00326DD9"/>
    <w:rsid w:val="00332090"/>
    <w:rsid w:val="0033252E"/>
    <w:rsid w:val="003378C1"/>
    <w:rsid w:val="0034138E"/>
    <w:rsid w:val="00345AED"/>
    <w:rsid w:val="00351C6B"/>
    <w:rsid w:val="003552F9"/>
    <w:rsid w:val="003568EF"/>
    <w:rsid w:val="003614AE"/>
    <w:rsid w:val="003618DA"/>
    <w:rsid w:val="00367EE5"/>
    <w:rsid w:val="00372C42"/>
    <w:rsid w:val="00376461"/>
    <w:rsid w:val="003A2FE6"/>
    <w:rsid w:val="003A6819"/>
    <w:rsid w:val="003B52C8"/>
    <w:rsid w:val="003C3140"/>
    <w:rsid w:val="003C4C23"/>
    <w:rsid w:val="003C581E"/>
    <w:rsid w:val="003D407C"/>
    <w:rsid w:val="003E47F4"/>
    <w:rsid w:val="00434EA5"/>
    <w:rsid w:val="004454A5"/>
    <w:rsid w:val="004465B6"/>
    <w:rsid w:val="0045273C"/>
    <w:rsid w:val="004550BA"/>
    <w:rsid w:val="00471E9B"/>
    <w:rsid w:val="0047439C"/>
    <w:rsid w:val="00475330"/>
    <w:rsid w:val="00481087"/>
    <w:rsid w:val="00496EDA"/>
    <w:rsid w:val="004A4D58"/>
    <w:rsid w:val="004A78F5"/>
    <w:rsid w:val="004B62A6"/>
    <w:rsid w:val="004C2AFA"/>
    <w:rsid w:val="004C68C5"/>
    <w:rsid w:val="004C7610"/>
    <w:rsid w:val="004D6992"/>
    <w:rsid w:val="004E4FC1"/>
    <w:rsid w:val="004F1895"/>
    <w:rsid w:val="004F4E9C"/>
    <w:rsid w:val="0050359E"/>
    <w:rsid w:val="00521675"/>
    <w:rsid w:val="00527617"/>
    <w:rsid w:val="00537128"/>
    <w:rsid w:val="00540973"/>
    <w:rsid w:val="0054292D"/>
    <w:rsid w:val="00556190"/>
    <w:rsid w:val="00566DFE"/>
    <w:rsid w:val="005737EA"/>
    <w:rsid w:val="005743CE"/>
    <w:rsid w:val="005847E1"/>
    <w:rsid w:val="0059498D"/>
    <w:rsid w:val="00595CD8"/>
    <w:rsid w:val="00597DB8"/>
    <w:rsid w:val="005A2DFF"/>
    <w:rsid w:val="005A5E8F"/>
    <w:rsid w:val="005A79F7"/>
    <w:rsid w:val="005B0CA9"/>
    <w:rsid w:val="005B153A"/>
    <w:rsid w:val="005B7F28"/>
    <w:rsid w:val="005C561E"/>
    <w:rsid w:val="005E4424"/>
    <w:rsid w:val="005E7D97"/>
    <w:rsid w:val="005F267C"/>
    <w:rsid w:val="005F5BAC"/>
    <w:rsid w:val="00602C69"/>
    <w:rsid w:val="0060653B"/>
    <w:rsid w:val="006342BE"/>
    <w:rsid w:val="00634928"/>
    <w:rsid w:val="00636637"/>
    <w:rsid w:val="00640C9D"/>
    <w:rsid w:val="00647733"/>
    <w:rsid w:val="00651C6A"/>
    <w:rsid w:val="00654F2A"/>
    <w:rsid w:val="0065625D"/>
    <w:rsid w:val="00657F83"/>
    <w:rsid w:val="00673220"/>
    <w:rsid w:val="00673C73"/>
    <w:rsid w:val="006828A0"/>
    <w:rsid w:val="006A023E"/>
    <w:rsid w:val="006A05E4"/>
    <w:rsid w:val="006B7C8A"/>
    <w:rsid w:val="006C3E86"/>
    <w:rsid w:val="006C7412"/>
    <w:rsid w:val="006D1B8A"/>
    <w:rsid w:val="006D7D88"/>
    <w:rsid w:val="006E37BE"/>
    <w:rsid w:val="006E4C46"/>
    <w:rsid w:val="006F401B"/>
    <w:rsid w:val="006F5DC7"/>
    <w:rsid w:val="00703F3C"/>
    <w:rsid w:val="007108B8"/>
    <w:rsid w:val="00713011"/>
    <w:rsid w:val="0071490E"/>
    <w:rsid w:val="00714E9D"/>
    <w:rsid w:val="00715080"/>
    <w:rsid w:val="00735844"/>
    <w:rsid w:val="00752656"/>
    <w:rsid w:val="00761953"/>
    <w:rsid w:val="0076332A"/>
    <w:rsid w:val="007666F2"/>
    <w:rsid w:val="00776CD0"/>
    <w:rsid w:val="007810BB"/>
    <w:rsid w:val="00781164"/>
    <w:rsid w:val="007A0EA5"/>
    <w:rsid w:val="007B505E"/>
    <w:rsid w:val="007C10C8"/>
    <w:rsid w:val="007C2546"/>
    <w:rsid w:val="007D172D"/>
    <w:rsid w:val="007D501D"/>
    <w:rsid w:val="007D64EE"/>
    <w:rsid w:val="007E23E7"/>
    <w:rsid w:val="007E42BE"/>
    <w:rsid w:val="007F0249"/>
    <w:rsid w:val="00825990"/>
    <w:rsid w:val="00831F4C"/>
    <w:rsid w:val="0084483E"/>
    <w:rsid w:val="0085331C"/>
    <w:rsid w:val="00855283"/>
    <w:rsid w:val="0085598D"/>
    <w:rsid w:val="00861218"/>
    <w:rsid w:val="00864E2C"/>
    <w:rsid w:val="00871C7D"/>
    <w:rsid w:val="0088075D"/>
    <w:rsid w:val="008809B2"/>
    <w:rsid w:val="00880EEB"/>
    <w:rsid w:val="0088263D"/>
    <w:rsid w:val="0088406A"/>
    <w:rsid w:val="008A0C54"/>
    <w:rsid w:val="008A1589"/>
    <w:rsid w:val="008B27FF"/>
    <w:rsid w:val="008B5991"/>
    <w:rsid w:val="008B71A0"/>
    <w:rsid w:val="008C0BBD"/>
    <w:rsid w:val="008F1FE2"/>
    <w:rsid w:val="008F3CF5"/>
    <w:rsid w:val="00900543"/>
    <w:rsid w:val="00903C2E"/>
    <w:rsid w:val="00903F4D"/>
    <w:rsid w:val="009041BC"/>
    <w:rsid w:val="00920AB1"/>
    <w:rsid w:val="0092373C"/>
    <w:rsid w:val="009273D9"/>
    <w:rsid w:val="009310D8"/>
    <w:rsid w:val="00961491"/>
    <w:rsid w:val="00961EDA"/>
    <w:rsid w:val="009824D0"/>
    <w:rsid w:val="00984FEF"/>
    <w:rsid w:val="00985686"/>
    <w:rsid w:val="00992938"/>
    <w:rsid w:val="009967D9"/>
    <w:rsid w:val="009A2899"/>
    <w:rsid w:val="009A39A9"/>
    <w:rsid w:val="009A4D5E"/>
    <w:rsid w:val="009A503A"/>
    <w:rsid w:val="009A5BD2"/>
    <w:rsid w:val="009B65F9"/>
    <w:rsid w:val="009C4637"/>
    <w:rsid w:val="009D561D"/>
    <w:rsid w:val="009E3902"/>
    <w:rsid w:val="009E5F38"/>
    <w:rsid w:val="009F4C44"/>
    <w:rsid w:val="009F7B99"/>
    <w:rsid w:val="00A158E4"/>
    <w:rsid w:val="00A17E43"/>
    <w:rsid w:val="00A4137F"/>
    <w:rsid w:val="00A4178B"/>
    <w:rsid w:val="00A5165F"/>
    <w:rsid w:val="00A7190F"/>
    <w:rsid w:val="00A71E67"/>
    <w:rsid w:val="00A71F8E"/>
    <w:rsid w:val="00A73AF1"/>
    <w:rsid w:val="00A74DE9"/>
    <w:rsid w:val="00A9125D"/>
    <w:rsid w:val="00A91ADB"/>
    <w:rsid w:val="00AA2A9C"/>
    <w:rsid w:val="00AB050B"/>
    <w:rsid w:val="00AB47F0"/>
    <w:rsid w:val="00AB5BCC"/>
    <w:rsid w:val="00AC56DD"/>
    <w:rsid w:val="00AD18D7"/>
    <w:rsid w:val="00AE54E0"/>
    <w:rsid w:val="00AE695F"/>
    <w:rsid w:val="00AF1705"/>
    <w:rsid w:val="00AF1FB4"/>
    <w:rsid w:val="00AF3C9C"/>
    <w:rsid w:val="00AF6A66"/>
    <w:rsid w:val="00B04375"/>
    <w:rsid w:val="00B20F68"/>
    <w:rsid w:val="00B21BBF"/>
    <w:rsid w:val="00B33520"/>
    <w:rsid w:val="00B35EF3"/>
    <w:rsid w:val="00B61865"/>
    <w:rsid w:val="00B676C7"/>
    <w:rsid w:val="00B71D52"/>
    <w:rsid w:val="00B77822"/>
    <w:rsid w:val="00B82102"/>
    <w:rsid w:val="00B85375"/>
    <w:rsid w:val="00B8667C"/>
    <w:rsid w:val="00B868AA"/>
    <w:rsid w:val="00B900DA"/>
    <w:rsid w:val="00B917B9"/>
    <w:rsid w:val="00B94C78"/>
    <w:rsid w:val="00B96A02"/>
    <w:rsid w:val="00BA5547"/>
    <w:rsid w:val="00BB457C"/>
    <w:rsid w:val="00BD5F45"/>
    <w:rsid w:val="00BE337B"/>
    <w:rsid w:val="00BF1BF0"/>
    <w:rsid w:val="00BF4DB4"/>
    <w:rsid w:val="00C024D5"/>
    <w:rsid w:val="00C07405"/>
    <w:rsid w:val="00C21317"/>
    <w:rsid w:val="00C26F11"/>
    <w:rsid w:val="00C45F32"/>
    <w:rsid w:val="00C51733"/>
    <w:rsid w:val="00C52832"/>
    <w:rsid w:val="00C66170"/>
    <w:rsid w:val="00C83138"/>
    <w:rsid w:val="00C92681"/>
    <w:rsid w:val="00C94ECA"/>
    <w:rsid w:val="00CB5383"/>
    <w:rsid w:val="00CC2897"/>
    <w:rsid w:val="00CC5CB4"/>
    <w:rsid w:val="00CD2490"/>
    <w:rsid w:val="00CE7BCC"/>
    <w:rsid w:val="00CF7C84"/>
    <w:rsid w:val="00D10167"/>
    <w:rsid w:val="00D10682"/>
    <w:rsid w:val="00D17708"/>
    <w:rsid w:val="00D23566"/>
    <w:rsid w:val="00D32661"/>
    <w:rsid w:val="00D40196"/>
    <w:rsid w:val="00D417CF"/>
    <w:rsid w:val="00D43037"/>
    <w:rsid w:val="00D4613C"/>
    <w:rsid w:val="00D47F9F"/>
    <w:rsid w:val="00D535C6"/>
    <w:rsid w:val="00D53B97"/>
    <w:rsid w:val="00D63174"/>
    <w:rsid w:val="00D654F5"/>
    <w:rsid w:val="00D76E77"/>
    <w:rsid w:val="00D77AE4"/>
    <w:rsid w:val="00D84287"/>
    <w:rsid w:val="00D90F9C"/>
    <w:rsid w:val="00D97D04"/>
    <w:rsid w:val="00DA11FA"/>
    <w:rsid w:val="00DA3026"/>
    <w:rsid w:val="00DA4DAF"/>
    <w:rsid w:val="00DB2171"/>
    <w:rsid w:val="00DB754D"/>
    <w:rsid w:val="00DD1CD9"/>
    <w:rsid w:val="00DE1D1B"/>
    <w:rsid w:val="00DF2A73"/>
    <w:rsid w:val="00E00EBF"/>
    <w:rsid w:val="00E016E0"/>
    <w:rsid w:val="00E028B0"/>
    <w:rsid w:val="00E03A8E"/>
    <w:rsid w:val="00E11A6D"/>
    <w:rsid w:val="00E17FB3"/>
    <w:rsid w:val="00E346BD"/>
    <w:rsid w:val="00E47DB3"/>
    <w:rsid w:val="00E52857"/>
    <w:rsid w:val="00E60444"/>
    <w:rsid w:val="00E66E5C"/>
    <w:rsid w:val="00E735CB"/>
    <w:rsid w:val="00E73D3A"/>
    <w:rsid w:val="00E74ACA"/>
    <w:rsid w:val="00EA52A3"/>
    <w:rsid w:val="00EB514F"/>
    <w:rsid w:val="00EC33A7"/>
    <w:rsid w:val="00EE0237"/>
    <w:rsid w:val="00EE4E12"/>
    <w:rsid w:val="00EE5DEC"/>
    <w:rsid w:val="00EF4697"/>
    <w:rsid w:val="00EF5438"/>
    <w:rsid w:val="00F0076E"/>
    <w:rsid w:val="00F02384"/>
    <w:rsid w:val="00F11B1E"/>
    <w:rsid w:val="00F16ABA"/>
    <w:rsid w:val="00F23166"/>
    <w:rsid w:val="00F43550"/>
    <w:rsid w:val="00F82741"/>
    <w:rsid w:val="00F84700"/>
    <w:rsid w:val="00F933BB"/>
    <w:rsid w:val="00FA34D3"/>
    <w:rsid w:val="00FB32CD"/>
    <w:rsid w:val="00FD3153"/>
    <w:rsid w:val="00FD55AC"/>
    <w:rsid w:val="00FE43CE"/>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6825"/>
  <w15:chartTrackingRefBased/>
  <w15:docId w15:val="{E52A5E3D-A568-4134-ABC1-5E851AC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87"/>
    <w:pPr>
      <w:ind w:left="720"/>
      <w:contextualSpacing/>
    </w:pPr>
  </w:style>
  <w:style w:type="character" w:styleId="Strong">
    <w:name w:val="Strong"/>
    <w:basedOn w:val="DefaultParagraphFont"/>
    <w:uiPriority w:val="22"/>
    <w:qFormat/>
    <w:rsid w:val="00481087"/>
    <w:rPr>
      <w:b/>
      <w:bCs/>
    </w:rPr>
  </w:style>
  <w:style w:type="paragraph" w:styleId="NormalWeb">
    <w:name w:val="Normal (Web)"/>
    <w:basedOn w:val="Normal"/>
    <w:uiPriority w:val="99"/>
    <w:unhideWhenUsed/>
    <w:rsid w:val="00FB32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42BE"/>
    <w:rPr>
      <w:color w:val="0000FF"/>
      <w:u w:val="single"/>
    </w:rPr>
  </w:style>
  <w:style w:type="character" w:styleId="UnresolvedMention">
    <w:name w:val="Unresolved Mention"/>
    <w:basedOn w:val="DefaultParagraphFont"/>
    <w:uiPriority w:val="99"/>
    <w:semiHidden/>
    <w:unhideWhenUsed/>
    <w:rsid w:val="00FF389A"/>
    <w:rPr>
      <w:color w:val="605E5C"/>
      <w:shd w:val="clear" w:color="auto" w:fill="E1DFDD"/>
    </w:rPr>
  </w:style>
  <w:style w:type="paragraph" w:styleId="EndnoteText">
    <w:name w:val="endnote text"/>
    <w:basedOn w:val="Normal"/>
    <w:link w:val="EndnoteTextChar"/>
    <w:uiPriority w:val="99"/>
    <w:semiHidden/>
    <w:unhideWhenUsed/>
    <w:rsid w:val="001776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6FC"/>
    <w:rPr>
      <w:sz w:val="20"/>
      <w:szCs w:val="20"/>
    </w:rPr>
  </w:style>
  <w:style w:type="character" w:styleId="EndnoteReference">
    <w:name w:val="endnote reference"/>
    <w:basedOn w:val="DefaultParagraphFont"/>
    <w:uiPriority w:val="99"/>
    <w:semiHidden/>
    <w:unhideWhenUsed/>
    <w:rsid w:val="001776FC"/>
    <w:rPr>
      <w:vertAlign w:val="superscript"/>
    </w:rPr>
  </w:style>
  <w:style w:type="paragraph" w:styleId="Header">
    <w:name w:val="header"/>
    <w:basedOn w:val="Normal"/>
    <w:link w:val="HeaderChar"/>
    <w:uiPriority w:val="99"/>
    <w:unhideWhenUsed/>
    <w:rsid w:val="0020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3CB"/>
  </w:style>
  <w:style w:type="paragraph" w:styleId="Footer">
    <w:name w:val="footer"/>
    <w:basedOn w:val="Normal"/>
    <w:link w:val="FooterChar"/>
    <w:uiPriority w:val="99"/>
    <w:unhideWhenUsed/>
    <w:rsid w:val="0020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3CB"/>
  </w:style>
  <w:style w:type="paragraph" w:styleId="FootnoteText">
    <w:name w:val="footnote text"/>
    <w:basedOn w:val="Normal"/>
    <w:link w:val="FootnoteTextChar"/>
    <w:uiPriority w:val="99"/>
    <w:semiHidden/>
    <w:unhideWhenUsed/>
    <w:rsid w:val="000C2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8E4"/>
    <w:rPr>
      <w:sz w:val="20"/>
      <w:szCs w:val="20"/>
    </w:rPr>
  </w:style>
  <w:style w:type="character" w:styleId="FootnoteReference">
    <w:name w:val="footnote reference"/>
    <w:basedOn w:val="DefaultParagraphFont"/>
    <w:uiPriority w:val="99"/>
    <w:semiHidden/>
    <w:unhideWhenUsed/>
    <w:rsid w:val="000C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4488">
      <w:bodyDiv w:val="1"/>
      <w:marLeft w:val="0"/>
      <w:marRight w:val="0"/>
      <w:marTop w:val="0"/>
      <w:marBottom w:val="0"/>
      <w:divBdr>
        <w:top w:val="none" w:sz="0" w:space="0" w:color="auto"/>
        <w:left w:val="none" w:sz="0" w:space="0" w:color="auto"/>
        <w:bottom w:val="none" w:sz="0" w:space="0" w:color="auto"/>
        <w:right w:val="none" w:sz="0" w:space="0" w:color="auto"/>
      </w:divBdr>
    </w:div>
    <w:div w:id="1296334783">
      <w:bodyDiv w:val="1"/>
      <w:marLeft w:val="0"/>
      <w:marRight w:val="0"/>
      <w:marTop w:val="0"/>
      <w:marBottom w:val="0"/>
      <w:divBdr>
        <w:top w:val="none" w:sz="0" w:space="0" w:color="auto"/>
        <w:left w:val="none" w:sz="0" w:space="0" w:color="auto"/>
        <w:bottom w:val="none" w:sz="0" w:space="0" w:color="auto"/>
        <w:right w:val="none" w:sz="0" w:space="0" w:color="auto"/>
      </w:divBdr>
    </w:div>
    <w:div w:id="1890220449">
      <w:bodyDiv w:val="1"/>
      <w:marLeft w:val="0"/>
      <w:marRight w:val="0"/>
      <w:marTop w:val="0"/>
      <w:marBottom w:val="0"/>
      <w:divBdr>
        <w:top w:val="none" w:sz="0" w:space="0" w:color="auto"/>
        <w:left w:val="none" w:sz="0" w:space="0" w:color="auto"/>
        <w:bottom w:val="none" w:sz="0" w:space="0" w:color="auto"/>
        <w:right w:val="none" w:sz="0" w:space="0" w:color="auto"/>
      </w:divBdr>
    </w:div>
    <w:div w:id="20471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lk_@hotmail.com" TargetMode="External"/><Relationship Id="rId13" Type="http://schemas.openxmlformats.org/officeDocument/2006/relationships/image" Target="media/image1.jpg"/><Relationship Id="rId18" Type="http://schemas.openxmlformats.org/officeDocument/2006/relationships/hyperlink" Target="http://climate.smiller.org/50x30/2021-12-16-electrify-building/Winka-Dec16-2021.pdf"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nj.gov/dep/aqes/ghgarchive/MCU%20GHG%20Inventory_2021.pdf" TargetMode="External"/><Relationship Id="rId17" Type="http://schemas.openxmlformats.org/officeDocument/2006/relationships/hyperlink" Target="https://www.youtube.com/watch?v=BBmaMbgjij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xchange.org/network/map/new-jers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newableheatnow.org/" TargetMode="External"/><Relationship Id="rId23" Type="http://schemas.openxmlformats.org/officeDocument/2006/relationships/fontTable" Target="fontTable.xml"/><Relationship Id="rId10" Type="http://schemas.openxmlformats.org/officeDocument/2006/relationships/hyperlink" Target="mailto:drkorfhage@gmail.com" TargetMode="External"/><Relationship Id="rId19" Type="http://schemas.openxmlformats.org/officeDocument/2006/relationships/hyperlink" Target="http://climate.smiller.org/50x30/2021-12-16-electrify-building/Winka-final-SC-NJ3rd-leverDec16-2021.pptx" TargetMode="External"/><Relationship Id="rId4" Type="http://schemas.openxmlformats.org/officeDocument/2006/relationships/settings" Target="settings.xml"/><Relationship Id="rId9" Type="http://schemas.openxmlformats.org/officeDocument/2006/relationships/hyperlink" Target="mailto:ggorman07419@embarqmail.com" TargetMode="External"/><Relationship Id="rId14" Type="http://schemas.openxmlformats.org/officeDocument/2006/relationships/hyperlink" Target="https://ashp.neep.org/%2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olar_power_in_New_Jersey" TargetMode="External"/><Relationship Id="rId7" Type="http://schemas.openxmlformats.org/officeDocument/2006/relationships/hyperlink" Target="https://nj.gov/bpu/pdf/reports/NJ%20BPU%20RA%20Investigation%20%28Final%29.pdf" TargetMode="External"/><Relationship Id="rId2" Type="http://schemas.openxmlformats.org/officeDocument/2006/relationships/hyperlink" Target="https://www.totemcontracting.com/how-much-energy-do-wind-turbines-produce/" TargetMode="External"/><Relationship Id="rId1" Type="http://schemas.openxmlformats.org/officeDocument/2006/relationships/hyperlink" Target="https://www.njcleanenergy.com/renewable-energy/programs/nj-offshore-wind" TargetMode="External"/><Relationship Id="rId6" Type="http://schemas.openxmlformats.org/officeDocument/2006/relationships/hyperlink" Target="https://www.state.nj.us/oal/rules/accessp/" TargetMode="External"/><Relationship Id="rId5" Type="http://schemas.openxmlformats.org/officeDocument/2006/relationships/hyperlink" Target="https://www.nj.gov/dep/rules/petition/pet20210721.pdf" TargetMode="External"/><Relationship Id="rId4" Type="http://schemas.openxmlformats.org/officeDocument/2006/relationships/hyperlink" Target="https://www.njspotlight.com/2021/07/nj-solar-sector-new-development-incentives-adopted-target-rapid-increase/"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label 0</c:f>
              <c:strCache>
                <c:ptCount val="1"/>
                <c:pt idx="0">
                  <c:v>MMT NJ GWRA 2050 24.1 Target (with prior linear backwards extrapolation)</c:v>
                </c:pt>
              </c:strCache>
            </c:strRef>
          </c:tx>
          <c:spPr>
            <a:ln w="28800">
              <a:solidFill>
                <a:srgbClr val="004586"/>
              </a:solidFill>
              <a:round/>
            </a:ln>
          </c:spPr>
          <c:marker>
            <c:symbol val="square"/>
            <c:size val="8"/>
            <c:spPr>
              <a:solidFill>
                <a:srgbClr val="004586"/>
              </a:solidFill>
            </c:spPr>
          </c:marker>
          <c:dLbls>
            <c:spPr>
              <a:noFill/>
              <a:ln>
                <a:noFill/>
              </a:ln>
              <a:effectLst/>
            </c:spPr>
            <c:txPr>
              <a:bodyPr wrap="none"/>
              <a:lstStyle/>
              <a:p>
                <a:pPr>
                  <a:defRPr sz="1000" b="0" strike="noStrike" spc="-1">
                    <a:solidFill>
                      <a:srgbClr val="000000"/>
                    </a:solidFill>
                    <a:latin typeface="Arial"/>
                    <a:ea typeface="DejaVu Sans"/>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pt idx="25">
                  <c:v>2044</c:v>
                </c:pt>
                <c:pt idx="26">
                  <c:v>2045</c:v>
                </c:pt>
                <c:pt idx="27">
                  <c:v>2046</c:v>
                </c:pt>
                <c:pt idx="28">
                  <c:v>2047</c:v>
                </c:pt>
                <c:pt idx="29">
                  <c:v>2048</c:v>
                </c:pt>
                <c:pt idx="30">
                  <c:v>2049</c:v>
                </c:pt>
                <c:pt idx="31">
                  <c:v>2050</c:v>
                </c:pt>
              </c:strCache>
            </c:strRef>
          </c:cat>
          <c:val>
            <c:numRef>
              <c:f>0</c:f>
              <c:numCache>
                <c:formatCode>General</c:formatCode>
                <c:ptCount val="32"/>
                <c:pt idx="0">
                  <c:v>97.7</c:v>
                </c:pt>
                <c:pt idx="1">
                  <c:v>97.7</c:v>
                </c:pt>
                <c:pt idx="2">
                  <c:v>97.7</c:v>
                </c:pt>
                <c:pt idx="3">
                  <c:v>95.162068965517307</c:v>
                </c:pt>
                <c:pt idx="4">
                  <c:v>92.624137931034497</c:v>
                </c:pt>
                <c:pt idx="5">
                  <c:v>90.086206896551701</c:v>
                </c:pt>
                <c:pt idx="6">
                  <c:v>87.548275862069005</c:v>
                </c:pt>
                <c:pt idx="7">
                  <c:v>85.010344827586195</c:v>
                </c:pt>
                <c:pt idx="8">
                  <c:v>82.472413793103499</c:v>
                </c:pt>
                <c:pt idx="9">
                  <c:v>79.934482758620703</c:v>
                </c:pt>
                <c:pt idx="10">
                  <c:v>77.396551724138007</c:v>
                </c:pt>
                <c:pt idx="11">
                  <c:v>74.858620689655197</c:v>
                </c:pt>
                <c:pt idx="12">
                  <c:v>72.320689655172501</c:v>
                </c:pt>
                <c:pt idx="13">
                  <c:v>69.782758620689705</c:v>
                </c:pt>
                <c:pt idx="14">
                  <c:v>67.244827586206995</c:v>
                </c:pt>
                <c:pt idx="15">
                  <c:v>64.706896551724199</c:v>
                </c:pt>
                <c:pt idx="16">
                  <c:v>62.168965517241503</c:v>
                </c:pt>
                <c:pt idx="17">
                  <c:v>59.6310344827587</c:v>
                </c:pt>
                <c:pt idx="18">
                  <c:v>57.093103448275897</c:v>
                </c:pt>
                <c:pt idx="19">
                  <c:v>54.555172413793201</c:v>
                </c:pt>
                <c:pt idx="20">
                  <c:v>52.017241379310398</c:v>
                </c:pt>
                <c:pt idx="21">
                  <c:v>49.479310344827702</c:v>
                </c:pt>
                <c:pt idx="22">
                  <c:v>46.9413793103449</c:v>
                </c:pt>
                <c:pt idx="23">
                  <c:v>44.403448275862097</c:v>
                </c:pt>
                <c:pt idx="24">
                  <c:v>41.865517241379401</c:v>
                </c:pt>
                <c:pt idx="25">
                  <c:v>39.327586206896598</c:v>
                </c:pt>
                <c:pt idx="26">
                  <c:v>36.789655172413802</c:v>
                </c:pt>
                <c:pt idx="27">
                  <c:v>34.251724137931099</c:v>
                </c:pt>
                <c:pt idx="28">
                  <c:v>31.7137931034483</c:v>
                </c:pt>
                <c:pt idx="29">
                  <c:v>29.1758620689656</c:v>
                </c:pt>
                <c:pt idx="30">
                  <c:v>26.637931034482801</c:v>
                </c:pt>
                <c:pt idx="31">
                  <c:v>24.1</c:v>
                </c:pt>
              </c:numCache>
            </c:numRef>
          </c:val>
          <c:smooth val="0"/>
          <c:extLst>
            <c:ext xmlns:c16="http://schemas.microsoft.com/office/drawing/2014/chart" uri="{C3380CC4-5D6E-409C-BE32-E72D297353CC}">
              <c16:uniqueId val="{00000000-5195-40A0-9934-428725EDE3F5}"/>
            </c:ext>
          </c:extLst>
        </c:ser>
        <c:ser>
          <c:idx val="1"/>
          <c:order val="1"/>
          <c:tx>
            <c:strRef>
              <c:f>label 1</c:f>
              <c:strCache>
                <c:ptCount val="1"/>
                <c:pt idx="0">
                  <c:v>MMT Target Biden (a) 50% GHG Reduction by 2030 vs 2005&amp; (b)Net Zero Emissions by 2050</c:v>
                </c:pt>
              </c:strCache>
            </c:strRef>
          </c:tx>
          <c:spPr>
            <a:ln w="28800">
              <a:solidFill>
                <a:srgbClr val="FF420E"/>
              </a:solidFill>
              <a:round/>
            </a:ln>
          </c:spPr>
          <c:marker>
            <c:symbol val="diamond"/>
            <c:size val="8"/>
            <c:spPr>
              <a:solidFill>
                <a:srgbClr val="FF420E"/>
              </a:solidFill>
            </c:spPr>
          </c:marker>
          <c:dLbls>
            <c:spPr>
              <a:noFill/>
              <a:ln>
                <a:noFill/>
              </a:ln>
              <a:effectLst/>
            </c:spPr>
            <c:txPr>
              <a:bodyPr wrap="none"/>
              <a:lstStyle/>
              <a:p>
                <a:pPr>
                  <a:defRPr sz="1000" b="0" strike="noStrike" spc="-1">
                    <a:solidFill>
                      <a:srgbClr val="000000"/>
                    </a:solidFill>
                    <a:latin typeface="Arial"/>
                    <a:ea typeface="DejaVu Sans"/>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pt idx="25">
                  <c:v>2044</c:v>
                </c:pt>
                <c:pt idx="26">
                  <c:v>2045</c:v>
                </c:pt>
                <c:pt idx="27">
                  <c:v>2046</c:v>
                </c:pt>
                <c:pt idx="28">
                  <c:v>2047</c:v>
                </c:pt>
                <c:pt idx="29">
                  <c:v>2048</c:v>
                </c:pt>
                <c:pt idx="30">
                  <c:v>2049</c:v>
                </c:pt>
                <c:pt idx="31">
                  <c:v>2050</c:v>
                </c:pt>
              </c:strCache>
            </c:strRef>
          </c:cat>
          <c:val>
            <c:numRef>
              <c:f>1</c:f>
              <c:numCache>
                <c:formatCode>General</c:formatCode>
                <c:ptCount val="32"/>
                <c:pt idx="0">
                  <c:v>97.7</c:v>
                </c:pt>
                <c:pt idx="1">
                  <c:v>97.7</c:v>
                </c:pt>
                <c:pt idx="2">
                  <c:v>97.7</c:v>
                </c:pt>
                <c:pt idx="3">
                  <c:v>93.544444444444494</c:v>
                </c:pt>
                <c:pt idx="4">
                  <c:v>89.3888888888889</c:v>
                </c:pt>
                <c:pt idx="5">
                  <c:v>85.233333333333405</c:v>
                </c:pt>
                <c:pt idx="6">
                  <c:v>81.077777777777797</c:v>
                </c:pt>
                <c:pt idx="7">
                  <c:v>76.922222222222302</c:v>
                </c:pt>
                <c:pt idx="8">
                  <c:v>72.766666666666694</c:v>
                </c:pt>
                <c:pt idx="9">
                  <c:v>68.6111111111111</c:v>
                </c:pt>
                <c:pt idx="10">
                  <c:v>64.455555555555605</c:v>
                </c:pt>
                <c:pt idx="11">
                  <c:v>60.3</c:v>
                </c:pt>
                <c:pt idx="12">
                  <c:v>57.284999999999997</c:v>
                </c:pt>
                <c:pt idx="13">
                  <c:v>54.27</c:v>
                </c:pt>
                <c:pt idx="14">
                  <c:v>51.255000000000003</c:v>
                </c:pt>
                <c:pt idx="15">
                  <c:v>48.24</c:v>
                </c:pt>
                <c:pt idx="16">
                  <c:v>45.225000000000001</c:v>
                </c:pt>
                <c:pt idx="17">
                  <c:v>42.21</c:v>
                </c:pt>
                <c:pt idx="18">
                  <c:v>39.195</c:v>
                </c:pt>
                <c:pt idx="19">
                  <c:v>36.18</c:v>
                </c:pt>
                <c:pt idx="20">
                  <c:v>33.164999999999999</c:v>
                </c:pt>
                <c:pt idx="21">
                  <c:v>30.15</c:v>
                </c:pt>
                <c:pt idx="22">
                  <c:v>27.135000000000002</c:v>
                </c:pt>
                <c:pt idx="23">
                  <c:v>24.12</c:v>
                </c:pt>
                <c:pt idx="24">
                  <c:v>21.105</c:v>
                </c:pt>
                <c:pt idx="25">
                  <c:v>18.09</c:v>
                </c:pt>
                <c:pt idx="26">
                  <c:v>15.074999999999999</c:v>
                </c:pt>
                <c:pt idx="27">
                  <c:v>12.06</c:v>
                </c:pt>
                <c:pt idx="28">
                  <c:v>9.0449999999999893</c:v>
                </c:pt>
                <c:pt idx="29">
                  <c:v>6.0299999999999896</c:v>
                </c:pt>
                <c:pt idx="30">
                  <c:v>3.0149999999999899</c:v>
                </c:pt>
                <c:pt idx="31">
                  <c:v>0</c:v>
                </c:pt>
              </c:numCache>
            </c:numRef>
          </c:val>
          <c:smooth val="0"/>
          <c:extLst>
            <c:ext xmlns:c16="http://schemas.microsoft.com/office/drawing/2014/chart" uri="{C3380CC4-5D6E-409C-BE32-E72D297353CC}">
              <c16:uniqueId val="{00000001-5195-40A0-9934-428725EDE3F5}"/>
            </c:ext>
          </c:extLst>
        </c:ser>
        <c:ser>
          <c:idx val="2"/>
          <c:order val="2"/>
          <c:tx>
            <c:strRef>
              <c:f>label 2</c:f>
              <c:strCache>
                <c:ptCount val="1"/>
                <c:pt idx="0">
                  <c:v>MMT Baseline Less NJ Committed</c:v>
                </c:pt>
              </c:strCache>
            </c:strRef>
          </c:tx>
          <c:spPr>
            <a:ln w="28800">
              <a:solidFill>
                <a:srgbClr val="FFD320"/>
              </a:solidFill>
              <a:round/>
            </a:ln>
          </c:spPr>
          <c:marker>
            <c:symbol val="triangle"/>
            <c:size val="8"/>
            <c:spPr>
              <a:solidFill>
                <a:srgbClr val="FFD320"/>
              </a:solidFill>
            </c:spPr>
          </c:marker>
          <c:dLbls>
            <c:spPr>
              <a:noFill/>
              <a:ln>
                <a:noFill/>
              </a:ln>
              <a:effectLst/>
            </c:spPr>
            <c:txPr>
              <a:bodyPr wrap="none"/>
              <a:lstStyle/>
              <a:p>
                <a:pPr>
                  <a:defRPr sz="1000" b="0" strike="noStrike" spc="-1">
                    <a:solidFill>
                      <a:srgbClr val="000000"/>
                    </a:solidFill>
                    <a:latin typeface="Arial"/>
                    <a:ea typeface="DejaVu Sans"/>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pt idx="25">
                  <c:v>2044</c:v>
                </c:pt>
                <c:pt idx="26">
                  <c:v>2045</c:v>
                </c:pt>
                <c:pt idx="27">
                  <c:v>2046</c:v>
                </c:pt>
                <c:pt idx="28">
                  <c:v>2047</c:v>
                </c:pt>
                <c:pt idx="29">
                  <c:v>2048</c:v>
                </c:pt>
                <c:pt idx="30">
                  <c:v>2049</c:v>
                </c:pt>
                <c:pt idx="31">
                  <c:v>2050</c:v>
                </c:pt>
              </c:strCache>
            </c:strRef>
          </c:cat>
          <c:val>
            <c:numRef>
              <c:f>2</c:f>
              <c:numCache>
                <c:formatCode>General</c:formatCode>
                <c:ptCount val="32"/>
                <c:pt idx="0">
                  <c:v>97.7</c:v>
                </c:pt>
                <c:pt idx="1">
                  <c:v>97.619354838709697</c:v>
                </c:pt>
                <c:pt idx="2">
                  <c:v>97.538709677419405</c:v>
                </c:pt>
                <c:pt idx="3">
                  <c:v>97.225153123723999</c:v>
                </c:pt>
                <c:pt idx="4">
                  <c:v>95.979951000408306</c:v>
                </c:pt>
                <c:pt idx="5">
                  <c:v>94.036014699877498</c:v>
                </c:pt>
                <c:pt idx="6">
                  <c:v>93.256635361372005</c:v>
                </c:pt>
                <c:pt idx="7">
                  <c:v>92.477256022866499</c:v>
                </c:pt>
                <c:pt idx="8">
                  <c:v>91.697876684361006</c:v>
                </c:pt>
                <c:pt idx="9">
                  <c:v>90.918497345855499</c:v>
                </c:pt>
                <c:pt idx="10">
                  <c:v>90.139118007350007</c:v>
                </c:pt>
                <c:pt idx="11">
                  <c:v>90.058472846059601</c:v>
                </c:pt>
                <c:pt idx="12">
                  <c:v>89.977827684769295</c:v>
                </c:pt>
                <c:pt idx="13">
                  <c:v>89.897182523479003</c:v>
                </c:pt>
                <c:pt idx="14">
                  <c:v>89.816537362188697</c:v>
                </c:pt>
                <c:pt idx="15">
                  <c:v>89.735892200898306</c:v>
                </c:pt>
                <c:pt idx="16">
                  <c:v>89.655247039608</c:v>
                </c:pt>
                <c:pt idx="17">
                  <c:v>89.574601878317694</c:v>
                </c:pt>
                <c:pt idx="18">
                  <c:v>89.493956717027402</c:v>
                </c:pt>
                <c:pt idx="19">
                  <c:v>89.413311555736996</c:v>
                </c:pt>
                <c:pt idx="20">
                  <c:v>89.332666394446704</c:v>
                </c:pt>
                <c:pt idx="21">
                  <c:v>89.252021233156398</c:v>
                </c:pt>
                <c:pt idx="22">
                  <c:v>89.171376071866106</c:v>
                </c:pt>
                <c:pt idx="23">
                  <c:v>89.0907309105758</c:v>
                </c:pt>
                <c:pt idx="24">
                  <c:v>89.010085749285395</c:v>
                </c:pt>
                <c:pt idx="25">
                  <c:v>88.929440587995103</c:v>
                </c:pt>
                <c:pt idx="26">
                  <c:v>88.848795426704797</c:v>
                </c:pt>
                <c:pt idx="27">
                  <c:v>88.768150265414505</c:v>
                </c:pt>
                <c:pt idx="28">
                  <c:v>88.687505104124199</c:v>
                </c:pt>
                <c:pt idx="29">
                  <c:v>88.606859942833793</c:v>
                </c:pt>
                <c:pt idx="30">
                  <c:v>88.526214781543501</c:v>
                </c:pt>
                <c:pt idx="31">
                  <c:v>88.445569620253195</c:v>
                </c:pt>
              </c:numCache>
            </c:numRef>
          </c:val>
          <c:smooth val="0"/>
          <c:extLst>
            <c:ext xmlns:c16="http://schemas.microsoft.com/office/drawing/2014/chart" uri="{C3380CC4-5D6E-409C-BE32-E72D297353CC}">
              <c16:uniqueId val="{00000002-5195-40A0-9934-428725EDE3F5}"/>
            </c:ext>
          </c:extLst>
        </c:ser>
        <c:ser>
          <c:idx val="3"/>
          <c:order val="3"/>
          <c:tx>
            <c:strRef>
              <c:f>label 3</c:f>
              <c:strCache>
                <c:ptCount val="1"/>
                <c:pt idx="0">
                  <c:v>MMT Baseline Less All Reduction Scenarios </c:v>
                </c:pt>
              </c:strCache>
            </c:strRef>
          </c:tx>
          <c:spPr>
            <a:ln w="28800">
              <a:solidFill>
                <a:srgbClr val="579D1C"/>
              </a:solidFill>
              <a:round/>
            </a:ln>
          </c:spPr>
          <c:marker>
            <c:symbol val="triangle"/>
            <c:size val="8"/>
            <c:spPr>
              <a:solidFill>
                <a:srgbClr val="579D1C"/>
              </a:solidFill>
            </c:spPr>
          </c:marker>
          <c:dLbls>
            <c:spPr>
              <a:noFill/>
              <a:ln>
                <a:noFill/>
              </a:ln>
              <a:effectLst/>
            </c:spPr>
            <c:txPr>
              <a:bodyPr wrap="none"/>
              <a:lstStyle/>
              <a:p>
                <a:pPr>
                  <a:defRPr sz="1000" b="0" strike="noStrike" spc="-1">
                    <a:solidFill>
                      <a:srgbClr val="000000"/>
                    </a:solidFill>
                    <a:latin typeface="Arial"/>
                    <a:ea typeface="DejaVu Sans"/>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2"/>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pt idx="25">
                  <c:v>2044</c:v>
                </c:pt>
                <c:pt idx="26">
                  <c:v>2045</c:v>
                </c:pt>
                <c:pt idx="27">
                  <c:v>2046</c:v>
                </c:pt>
                <c:pt idx="28">
                  <c:v>2047</c:v>
                </c:pt>
                <c:pt idx="29">
                  <c:v>2048</c:v>
                </c:pt>
                <c:pt idx="30">
                  <c:v>2049</c:v>
                </c:pt>
                <c:pt idx="31">
                  <c:v>2050</c:v>
                </c:pt>
              </c:strCache>
            </c:strRef>
          </c:cat>
          <c:val>
            <c:numRef>
              <c:f>3</c:f>
              <c:numCache>
                <c:formatCode>General</c:formatCode>
                <c:ptCount val="32"/>
                <c:pt idx="0">
                  <c:v>97.7</c:v>
                </c:pt>
                <c:pt idx="1">
                  <c:v>97.174023513009104</c:v>
                </c:pt>
                <c:pt idx="2">
                  <c:v>96.927463759337797</c:v>
                </c:pt>
                <c:pt idx="3">
                  <c:v>96.478416172121698</c:v>
                </c:pt>
                <c:pt idx="4">
                  <c:v>94.8182565193096</c:v>
                </c:pt>
                <c:pt idx="5">
                  <c:v>92.276714860511802</c:v>
                </c:pt>
                <c:pt idx="6">
                  <c:v>90.764783446736303</c:v>
                </c:pt>
                <c:pt idx="7">
                  <c:v>89.093787110975597</c:v>
                </c:pt>
                <c:pt idx="8">
                  <c:v>87.2588898386458</c:v>
                </c:pt>
                <c:pt idx="9">
                  <c:v>85.112164419644799</c:v>
                </c:pt>
                <c:pt idx="10">
                  <c:v>83.297492821550406</c:v>
                </c:pt>
                <c:pt idx="11">
                  <c:v>80.921466333774703</c:v>
                </c:pt>
                <c:pt idx="12">
                  <c:v>78.448068632930998</c:v>
                </c:pt>
                <c:pt idx="13">
                  <c:v>75.931863465416797</c:v>
                </c:pt>
                <c:pt idx="14">
                  <c:v>73.374673441132302</c:v>
                </c:pt>
                <c:pt idx="15">
                  <c:v>70.775528809030206</c:v>
                </c:pt>
                <c:pt idx="16">
                  <c:v>68.133268523067699</c:v>
                </c:pt>
                <c:pt idx="17">
                  <c:v>65.302297661776706</c:v>
                </c:pt>
                <c:pt idx="18">
                  <c:v>62.423138955946001</c:v>
                </c:pt>
                <c:pt idx="19">
                  <c:v>59.494432086223497</c:v>
                </c:pt>
                <c:pt idx="20">
                  <c:v>56.514755474134603</c:v>
                </c:pt>
                <c:pt idx="21">
                  <c:v>53.482616145052603</c:v>
                </c:pt>
                <c:pt idx="22">
                  <c:v>50.396435537921398</c:v>
                </c:pt>
                <c:pt idx="23">
                  <c:v>47.449837958684398</c:v>
                </c:pt>
                <c:pt idx="24">
                  <c:v>44.6435202140499</c:v>
                </c:pt>
                <c:pt idx="25">
                  <c:v>41.887820288651497</c:v>
                </c:pt>
                <c:pt idx="26">
                  <c:v>39.290097323457701</c:v>
                </c:pt>
                <c:pt idx="27">
                  <c:v>36.850989974716498</c:v>
                </c:pt>
                <c:pt idx="28">
                  <c:v>34.570448194014197</c:v>
                </c:pt>
                <c:pt idx="29">
                  <c:v>32.4468787037288</c:v>
                </c:pt>
                <c:pt idx="30">
                  <c:v>30.474324104073801</c:v>
                </c:pt>
                <c:pt idx="31">
                  <c:v>28.431088555032101</c:v>
                </c:pt>
              </c:numCache>
            </c:numRef>
          </c:val>
          <c:smooth val="0"/>
          <c:extLst>
            <c:ext xmlns:c16="http://schemas.microsoft.com/office/drawing/2014/chart" uri="{C3380CC4-5D6E-409C-BE32-E72D297353CC}">
              <c16:uniqueId val="{00000003-5195-40A0-9934-428725EDE3F5}"/>
            </c:ext>
          </c:extLst>
        </c:ser>
        <c:dLbls>
          <c:showLegendKey val="0"/>
          <c:showVal val="0"/>
          <c:showCatName val="0"/>
          <c:showSerName val="0"/>
          <c:showPercent val="0"/>
          <c:showBubbleSize val="0"/>
        </c:dLbls>
        <c:hiLowLines>
          <c:spPr>
            <a:ln w="0">
              <a:noFill/>
            </a:ln>
          </c:spPr>
        </c:hiLowLines>
        <c:marker val="1"/>
        <c:smooth val="0"/>
        <c:axId val="60588787"/>
        <c:axId val="63261793"/>
      </c:lineChart>
      <c:catAx>
        <c:axId val="60588787"/>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ea typeface="DejaVu Sans"/>
              </a:defRPr>
            </a:pPr>
            <a:endParaRPr lang="en-US"/>
          </a:p>
        </c:txPr>
        <c:crossAx val="63261793"/>
        <c:crosses val="autoZero"/>
        <c:auto val="1"/>
        <c:lblAlgn val="ctr"/>
        <c:lblOffset val="100"/>
        <c:noMultiLvlLbl val="0"/>
      </c:catAx>
      <c:valAx>
        <c:axId val="63261793"/>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ea typeface="DejaVu Sans"/>
              </a:defRPr>
            </a:pPr>
            <a:endParaRPr lang="en-US"/>
          </a:p>
        </c:txPr>
        <c:crossAx val="60588787"/>
        <c:crosses val="autoZero"/>
        <c:crossBetween val="midCat"/>
      </c:valAx>
      <c:spPr>
        <a:noFill/>
        <a:ln w="0">
          <a:solidFill>
            <a:srgbClr val="B3B3B3"/>
          </a:solidFill>
        </a:ln>
      </c:spPr>
    </c:plotArea>
    <c:legend>
      <c:legendPos val="r"/>
      <c:overlay val="0"/>
      <c:spPr>
        <a:noFill/>
        <a:ln w="0">
          <a:noFill/>
        </a:ln>
      </c:spPr>
      <c:txPr>
        <a:bodyPr/>
        <a:lstStyle/>
        <a:p>
          <a:pPr>
            <a:defRPr sz="1000" b="0" strike="noStrike" spc="-1">
              <a:solidFill>
                <a:srgbClr val="000000"/>
              </a:solidFill>
              <a:latin typeface="Arial"/>
              <a:ea typeface="DejaVu Sans"/>
            </a:defRPr>
          </a:pPr>
          <a:endParaRPr lang="en-US"/>
        </a:p>
      </c:txPr>
    </c:legend>
    <c:plotVisOnly val="1"/>
    <c:dispBlanksAs val="zero"/>
    <c:showDLblsOverMax val="1"/>
  </c:chart>
  <c:spPr>
    <a:solidFill>
      <a:srgbClr val="FFFFFF"/>
    </a:solidFill>
    <a:ln w="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CEC4-7A1F-46D5-876E-245587DC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Steve Miller</cp:lastModifiedBy>
  <cp:revision>12</cp:revision>
  <cp:lastPrinted>2022-01-24T15:15:00Z</cp:lastPrinted>
  <dcterms:created xsi:type="dcterms:W3CDTF">2022-01-25T17:19:00Z</dcterms:created>
  <dcterms:modified xsi:type="dcterms:W3CDTF">2022-01-26T02:59:00Z</dcterms:modified>
</cp:coreProperties>
</file>